
<file path=tbak/document1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 w14:paraId="16A5912F">
      <w:pPr>
        <w:pStyle w:val="5"/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after="0" w:afterAutospacing="0" w:before="0" w:beforeAutospacing="0" w:line="800" w:lineRule="exact"/>
        <w:ind w:firstLine="955" w:firstLineChars="200" w:left="0" w:right="0"/>
        <w:rPr>
          <w:b w:val="1"/>
          <w:i w:val="0"/>
          <w:color w:val="000000"/>
          <w:spacing w:val="18"/>
          <w:sz w:val="44"/>
          <w:lang w:val="en-US" w:eastAsia="zh-CN"/>
          <w:bCs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</w:pPr>
      <w:r>
        <w:rPr>
          <w:b w:val="1"/>
          <w:i w:val="0"/>
          <w:color w:val="000000"/>
          <w:spacing w:val="18"/>
          <w:sz w:val="44"/>
          <w:lang w:val="en-US" w:eastAsia="zh-CN"/>
          <w:bCs/>
          <w:iCs w:val="0"/>
          <w:szCs w:val="44"/>
          <w:shd w:val="clear" w:fill="FFFFFF"/>
          <w:rFonts w:ascii="方正小标宋简体" w:hAnsi="方正小标宋简体" w:eastAsia="方正小标宋简体" w:cs="方正小标宋简体" w:hint="eastAsia"/>
        </w:rPr>
        <w:t>大学生校园话剧小品大赛活动方案</w:t>
      </w:r>
    </w:p>
    <w:p w14:paraId="1DE15AC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59" w:firstLineChars="200" w:leftChars="0"/>
        <w:rPr>
          <w:b w:val="1"/>
          <w:i w:val="0"/>
          <w:color w:val="auto"/>
          <w:spacing w:val="0"/>
          <w:w w:val="100"/>
          <w:sz w:val="32"/>
          <w:lang w:val="en-US" w:eastAsia="zh-CN"/>
          <w:bCs/>
          <w:szCs w:val="32"/>
          <w:rFonts w:ascii="黑体" w:hAnsi="黑体" w:eastAsia="黑体" w:cs="黑体" w:hint="eastAsia"/>
        </w:rPr>
      </w:pPr>
      <w:r>
        <w:rPr>
          <w:b w:val="1"/>
          <w:spacing w:val="4"/>
          <w:sz w:val="32"/>
          <w:lang w:val="en-US" w:eastAsia="zh-CN"/>
          <w:bCs/>
          <w:szCs w:val="32"/>
          <w:rFonts w:ascii="黑体" w:hAnsi="黑体" w:eastAsia="黑体" w:cs="黑体" w:hint="eastAsia"/>
        </w:rPr>
        <w:t>一</w:t>
      </w:r>
      <w:r>
        <w:rPr>
          <w:b w:val="1"/>
          <w:spacing w:val="4"/>
          <w:sz w:val="32"/>
          <w:bCs/>
          <w:szCs w:val="32"/>
          <w:rFonts w:ascii="黑体" w:hAnsi="黑体" w:eastAsia="黑体" w:cs="黑体" w:hint="eastAsia"/>
        </w:rPr>
        <w:t>、</w:t>
      </w:r>
      <w:r>
        <w:rPr>
          <w:b w:val="1"/>
          <w:spacing w:val="4"/>
          <w:sz w:val="32"/>
          <w:lang w:val="en-US" w:eastAsia="zh-CN"/>
          <w:bCs/>
          <w:szCs w:val="32"/>
          <w:rFonts w:ascii="黑体" w:hAnsi="黑体" w:eastAsia="黑体" w:cs="黑体" w:hint="eastAsia"/>
        </w:rPr>
        <w:t>承办单位</w:t>
      </w:r>
    </w:p>
    <w:p w14:paraId="7996CAB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default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经济贸易学院团总支</w:t>
      </w:r>
    </w:p>
    <w:p w14:paraId="01161F8E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600" w:lineRule="exact"/>
        <w:ind w:firstLine="659" w:firstLineChars="200"/>
        <w:rPr>
          <w:b w:val="1"/>
          <w:spacing w:val="4"/>
          <w:sz w:val="32"/>
          <w:lang w:val="en-US" w:eastAsia="zh-CN" w:bidi="ar-SA"/>
          <w:bCs/>
          <w:kern w:val="2"/>
          <w:szCs w:val="32"/>
          <w:rFonts w:ascii="黑体" w:hAnsi="黑体" w:eastAsia="黑体" w:cs="黑体" w:hint="eastAsia"/>
        </w:rPr>
      </w:pPr>
      <w:r>
        <w:rPr>
          <w:b w:val="1"/>
          <w:spacing w:val="4"/>
          <w:sz w:val="32"/>
          <w:lang w:val="en-US" w:eastAsia="zh-CN"/>
          <w:bCs/>
          <w:szCs w:val="32"/>
          <w:rFonts w:ascii="黑体" w:hAnsi="黑体" w:eastAsia="黑体" w:cs="黑体" w:hint="eastAsia"/>
        </w:rPr>
        <w:t>二、日程安排</w:t>
      </w:r>
    </w:p>
    <w:p w14:paraId="0F5DA7AA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初赛由各学院（中心）、学生组织于3月21日-4月8日自行组织</w:t>
      </w:r>
    </w:p>
    <w:p w14:paraId="5CEE852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决赛时间：4月15日</w:t>
      </w:r>
    </w:p>
    <w:p w14:paraId="00A35ADA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初赛比赛地点由各学院（中心）、学生组织自行安排。</w:t>
      </w:r>
    </w:p>
    <w:p w14:paraId="616C4FB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决赛地点：大学术报告厅（如有变动再行通知），现场表演。</w:t>
      </w:r>
    </w:p>
    <w:p w14:paraId="487F7E5B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numPr>
          <w:ilvl w:val="0"/>
          <w:numId w:val="0"/>
        </w:numPr>
        <w:spacing w:line="600" w:lineRule="exact"/>
        <w:ind w:firstLine="659" w:firstLineChars="200"/>
        <w:rPr>
          <w:b w:val="1"/>
          <w:spacing w:val="4"/>
          <w:sz w:val="32"/>
          <w:lang w:val="en-US" w:eastAsia="zh-CN"/>
          <w:bCs/>
          <w:szCs w:val="32"/>
          <w:rFonts w:ascii="黑体" w:hAnsi="黑体" w:eastAsia="黑体" w:cs="黑体" w:hint="eastAsia"/>
        </w:rPr>
      </w:pPr>
      <w:r>
        <w:rPr>
          <w:b w:val="1"/>
          <w:spacing w:val="4"/>
          <w:sz w:val="32"/>
          <w:lang w:val="en-US" w:eastAsia="zh-CN"/>
          <w:bCs/>
          <w:szCs w:val="32"/>
          <w:rFonts w:ascii="黑体" w:hAnsi="黑体" w:eastAsia="黑体" w:cs="黑体" w:hint="eastAsia"/>
        </w:rPr>
        <w:t>三、参赛要求</w:t>
      </w:r>
    </w:p>
    <w:p w14:paraId="669CDCEF">
      <w:pPr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1.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围绕“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四高四争先 青年勇担当”主题，深入学习贯彻二十大精神和二十届三中全会精神，以及习近平文化思想，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结合自身所见所闻，认识感受，讴歌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我国新时代快速发展的成果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，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传承和弘扬中华优秀传统文化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。每个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作品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表演时间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8至10分钟。</w:t>
      </w:r>
    </w:p>
    <w:p w14:paraId="2DD5ACA8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2.各学院（中心）、学生组织先行组织比赛，推选1个优秀话剧、小品节目进入决赛，进入决赛的剧目按照要求填写报名表(见附1)。</w:t>
      </w:r>
    </w:p>
    <w:p w14:paraId="06AB050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3.活动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形式:表达形式多样，主题鲜明，观点明确，具有创新性和时代感。</w:t>
      </w:r>
    </w:p>
    <w:p w14:paraId="37379EF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40" w:firstLineChars="200" w:leftChars="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4.大</w:t>
      </w:r>
      <w:r>
        <w:rPr>
          <w:color w:val="auto"/>
          <w:sz w:val="32"/>
          <w:lang w:val="zh-CN" w:eastAsia="zh-CN" w:bidi="ar"/>
          <w:kern w:val="0"/>
          <w:szCs w:val="32"/>
          <w:rFonts w:ascii="仿宋_GB2312" w:hAnsi="仿宋_GB2312" w:eastAsia="仿宋_GB2312" w:cs="仿宋_GB2312" w:hint="eastAsia"/>
        </w:rPr>
        <w:t>赛顺序采用抽签制，节目按抽签顺序依次上台</w:t>
      </w: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表演</w:t>
      </w:r>
    </w:p>
    <w:p w14:paraId="75E32AB5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43" w:firstLineChars="200" w:leftChars="0"/>
        <w:rPr>
          <w:b w:val="1"/>
          <w:sz w:val="32"/>
          <w:lang w:eastAsia="zh-CN"/>
          <w:bCs/>
          <w:szCs w:val="32"/>
          <w:rFonts w:ascii="黑体" w:hAnsi="黑体" w:eastAsia="黑体" w:cs="黑体" w:hint="eastAsia"/>
        </w:rPr>
      </w:pP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四</w:t>
      </w:r>
      <w:r>
        <w:rPr>
          <w:b w:val="1"/>
          <w:sz w:val="32"/>
          <w:lang w:eastAsia="zh-CN"/>
          <w:bCs/>
          <w:szCs w:val="32"/>
          <w:rFonts w:ascii="黑体" w:hAnsi="黑体" w:eastAsia="黑体" w:cs="黑体" w:hint="eastAsia"/>
        </w:rPr>
        <w:t>、奖项设置</w:t>
      </w:r>
    </w:p>
    <w:p w14:paraId="66901914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一等奖：1个</w:t>
      </w:r>
    </w:p>
    <w:p w14:paraId="6C30636B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二等奖：2个</w:t>
      </w:r>
    </w:p>
    <w:p w14:paraId="00742AD6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三等奖：4个</w:t>
      </w:r>
    </w:p>
    <w:p w14:paraId="75F1C0F0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40" w:firstLineChars="200" w:leftChars="0"/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优秀组织奖：1个</w:t>
      </w:r>
    </w:p>
    <w:p w14:paraId="1D1E20D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numPr>
          <w:ilvl w:val="0"/>
          <w:numId w:val="0"/>
        </w:numPr>
        <w:spacing w:afterAutospacing="0" w:beforeAutospacing="0" w:line="600" w:lineRule="exact"/>
        <w:ind w:firstLine="643" w:firstLineChars="200" w:leftChars="0"/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</w:pP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五、参与对象</w:t>
      </w:r>
    </w:p>
    <w:p w14:paraId="3968EE41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全体在校大学生</w:t>
      </w:r>
    </w:p>
    <w:p w14:paraId="507AD0DD">
      <w:pPr>
        <w:widowControl w:val="0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spacing w:line="600" w:lineRule="exact"/>
        <w:ind w:firstLine="643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b w:val="1"/>
          <w:sz w:val="32"/>
          <w:lang w:val="en-US" w:eastAsia="zh-CN"/>
          <w:bCs/>
          <w:szCs w:val="32"/>
          <w:rFonts w:ascii="黑体" w:hAnsi="黑体" w:eastAsia="黑体" w:cs="黑体" w:hint="eastAsia"/>
        </w:rPr>
        <w:t>六、报名及联系方式</w:t>
      </w:r>
    </w:p>
    <w:p w14:paraId="31BACCD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default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联系人：禇德庆 杨悦</w:t>
      </w:r>
    </w:p>
    <w:p w14:paraId="49C03E51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default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联系方式：17637633283</w:t>
      </w:r>
    </w:p>
    <w:p w14:paraId="1D3E630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活动官方咨询交流群：</w:t>
      </w:r>
    </w:p>
    <w:p w14:paraId="349D0F54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drawing>
          <wp:inline distT="0" distB="0" distL="114300" distR="114300">
            <wp:extent cx="2882265" cy="2966085"/>
            <wp:effectExtent l="0" t="0" r="13335" b="5715"/>
            <wp:docPr id="1" name="图片 2" descr="微信图片_20250318221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503182216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966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F26C9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</w:p>
    <w:p w14:paraId="4FC30BA7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</w:p>
    <w:p w14:paraId="433013C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420" w:firstLineChars="200"/>
        <w:rPr>
          <w:lang w:val="en-US" w:eastAsia="zh-CN"/>
          <w:rFonts w:hint="eastAsia"/>
        </w:rPr>
      </w:pPr>
    </w:p>
    <w:p w14:paraId="6F4DE27C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600" w:lineRule="exact"/>
        <w:ind w:firstLine="420" w:firstLineChars="200"/>
        <w:rPr>
          <w:lang w:val="en-US" w:eastAsia="zh-CN"/>
          <w:rFonts w:hint="eastAsia"/>
        </w:rPr>
      </w:pPr>
    </w:p>
    <w:p w14:paraId="102DE9CC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</w:pPr>
      <w:r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eastAsia"/>
        </w:rPr>
        <w:t>附件1：参赛者报名表</w:t>
      </w:r>
    </w:p>
    <w:tbl>
      <w:tblPr>
        <w:tblStyle w:val="7"/>
        <w:tblW w:w="0" w:type="auto"/>
        <w:tblInd w:type="dxa" w:w="0.000000"/>
        <w:tblLayout w:type="autofi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2130.000000"/>
        <w:gridCol w:w="2130.000000"/>
        <w:gridCol w:w="2131.000000"/>
        <w:gridCol w:w="2131.000000"/>
      </w:tblGrid>
      <w:tr w14:paraId="4781C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71E925B7">
            <w:pPr>
              <w:pStyle w:val="3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numPr>
                <w:ilvl w:val="0"/>
                <w:numId w:val="0"/>
              </w:numPr>
              <w:spacing w:line="280" w:lineRule="atLeast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单位</w:t>
            </w:r>
          </w:p>
        </w:tc>
        <w:tc>
          <w:tcPr>
            <w:tcW w:w="2130" w:type="dxa"/>
          </w:tcPr>
          <w:p w14:paraId="3A25D0ED">
            <w:pPr>
              <w:pStyle w:val="3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numPr>
                <w:ilvl w:val="0"/>
                <w:numId w:val="0"/>
              </w:numPr>
              <w:spacing w:line="280" w:lineRule="atLeast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负责人姓名</w:t>
            </w:r>
          </w:p>
        </w:tc>
        <w:tc>
          <w:tcPr>
            <w:tcW w:w="2131" w:type="dxa"/>
          </w:tcPr>
          <w:p w14:paraId="635722DB">
            <w:pPr>
              <w:pStyle w:val="3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numPr>
                <w:ilvl w:val="0"/>
                <w:numId w:val="0"/>
              </w:numPr>
              <w:spacing w:line="280" w:lineRule="atLeast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作品名称</w:t>
            </w:r>
          </w:p>
        </w:tc>
        <w:tc>
          <w:tcPr>
            <w:tcW w:w="2131" w:type="dxa"/>
          </w:tcPr>
          <w:p w14:paraId="77E8324A">
            <w:pPr>
              <w:pStyle w:val="3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numPr>
                <w:ilvl w:val="0"/>
                <w:numId w:val="0"/>
              </w:numPr>
              <w:spacing w:line="280" w:lineRule="atLeast"/>
              <w:rPr>
                <w:lang w:val="en-US" w:eastAsia="zh-CN"/>
                <w:rFonts w:hint="default"/>
              </w:rPr>
            </w:pPr>
            <w:r>
              <w:rPr>
                <w:lang w:val="en-US" w:eastAsia="zh-CN"/>
                <w:rFonts w:hint="eastAsia"/>
              </w:rPr>
              <w:t>联系电话</w:t>
            </w:r>
          </w:p>
        </w:tc>
      </w:tr>
      <w:tr w14:paraId="3533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6CA2F64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0E388F22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6C9BE2E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06AB23C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73714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0ED0740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307505C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1E23B2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56FD6FA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2BEED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7A6DA14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37AFE377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685EDEC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3AEEA41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27736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61B9C22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65E17CE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2B3FF5F8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7E7E233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60D8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7680727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06A5931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1786F4C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52A2FE6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6096F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67CED80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65993139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7DB2BAD0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09AA73B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5F1B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42077B9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6D334CEB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702A8735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630D0896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1A21D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6B1D206A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2A73AA1D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67A5C07C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6997DAD4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  <w:tr w14:paraId="25F2B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2130" w:type="dxa"/>
          </w:tcPr>
          <w:p w14:paraId="761D588E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0" w:type="dxa"/>
          </w:tcPr>
          <w:p w14:paraId="0270A8D3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456E6801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  <w:tc>
          <w:tcPr>
            <w:tcW w:w="2131" w:type="dxa"/>
          </w:tcPr>
          <w:p w14:paraId="5AA87BAF">
            <w:pPr>
              <w:widowControl w:val="1"/>
              <w:keepNext w:val="0"/>
              <w:keepLines w:val="0"/>
              <w:pageBreakBefore w:val="0"/>
              <w:wordWrap w:val="1"/>
              <w:overflowPunct w:val="1"/>
              <w:topLinePunct w:val="0"/>
              <w:kinsoku w:val="1"/>
              <w:autoSpaceDE w:val="1"/>
              <w:autoSpaceDN w:val="1"/>
              <w:bidi w:val="0"/>
              <w:adjustRightInd w:val="1"/>
              <w:snapToGrid w:val="1"/>
              <w:jc w:val="left"/>
              <w:suppressLineNumbers w:val="0"/>
              <w:spacing w:line="280" w:lineRule="atLeast"/>
              <w:rPr>
                <w:vertAlign w:val="baseline"/>
                <w:color w:val="auto"/>
                <w:sz w:val="32"/>
                <w:lang w:val="en-US" w:eastAsia="zh-CN" w:bidi="ar"/>
                <w:kern w:val="0"/>
                <w:szCs w:val="32"/>
                <w:rFonts w:ascii="仿宋_GB2312" w:hAnsi="仿宋_GB2312" w:eastAsia="仿宋_GB2312" w:cs="仿宋_GB2312" w:hint="default"/>
              </w:rPr>
            </w:pPr>
          </w:p>
        </w:tc>
      </w:tr>
    </w:tbl>
    <w:p w14:paraId="424AEE8E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default"/>
        </w:rPr>
      </w:pPr>
    </w:p>
    <w:p w14:paraId="41B51D52">
      <w:pPr>
        <w:widowControl w:val="1"/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left"/>
        <w:suppressLineNumbers w:val="0"/>
        <w:spacing w:line="280" w:lineRule="atLeast"/>
        <w:ind w:firstLine="640" w:firstLineChars="200"/>
        <w:rPr>
          <w:color w:val="auto"/>
          <w:sz w:val="32"/>
          <w:lang w:val="en-US" w:eastAsia="zh-CN" w:bidi="ar"/>
          <w:kern w:val="0"/>
          <w:szCs w:val="32"/>
          <w:rFonts w:ascii="仿宋_GB2312" w:hAnsi="仿宋_GB2312" w:eastAsia="仿宋_GB2312" w:cs="仿宋_GB2312" w:hint="default"/>
        </w:rPr>
      </w:pPr>
    </w:p>
    <w:p w14:paraId="0EE1049D"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spacing w:after="0" w:afterAutospacing="0" w:before="0" w:beforeAutospacing="0" w:line="560" w:lineRule="exact"/>
        <w:rPr>
          <w:vertAlign w:val="baseline"/>
          <w:b w:val="0"/>
          <w:i w:val="0"/>
          <w:color w:val="auto"/>
          <w:spacing w:val="0"/>
          <w:w w:val="100"/>
          <w:sz w:val="32"/>
          <w:lang w:val="en-US" w:eastAsia="zh-CN"/>
          <w:bCs/>
          <w:kern w:val="0"/>
          <w:szCs w:val="32"/>
          <w:rFonts w:ascii="黑体" w:hAnsi="黑体" w:eastAsia="黑体" w:cs="黑体" w:hint="eastAsia"/>
        </w:rPr>
      </w:pPr>
    </w:p>
    <w:p w14:paraId="6889A369"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tbak/modified.xml>Fri Mar 21 10:56:55 2025
save:Fri Mar 21 10:57:01 2025

</file>