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B1BE09">
      <w:pPr>
        <w:spacing w:line="560" w:lineRule="exact"/>
        <w:jc w:val="left"/>
        <w:rPr>
          <w:rFonts w:ascii="黑体" w:hAnsi="黑体" w:eastAsia="黑体"/>
          <w:sz w:val="32"/>
          <w:szCs w:val="32"/>
        </w:rPr>
      </w:pPr>
      <w:r>
        <w:rPr>
          <w:rFonts w:hint="eastAsia" w:ascii="黑体" w:hAnsi="黑体" w:eastAsia="黑体"/>
          <w:sz w:val="32"/>
          <w:szCs w:val="32"/>
        </w:rPr>
        <w:t>附</w:t>
      </w:r>
      <w:r>
        <w:rPr>
          <w:rFonts w:hint="eastAsia" w:ascii="黑体" w:hAnsi="黑体" w:eastAsia="黑体"/>
          <w:sz w:val="32"/>
          <w:szCs w:val="32"/>
          <w:lang w:val="en-US" w:eastAsia="zh-CN"/>
        </w:rPr>
        <w:t xml:space="preserve"> </w:t>
      </w:r>
      <w:r>
        <w:rPr>
          <w:rFonts w:hint="eastAsia" w:ascii="黑体" w:hAnsi="黑体" w:eastAsia="黑体"/>
          <w:sz w:val="32"/>
          <w:szCs w:val="32"/>
        </w:rPr>
        <w:t>件</w:t>
      </w:r>
    </w:p>
    <w:p w14:paraId="10F70C25">
      <w:pPr>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202</w:t>
      </w:r>
      <w:r>
        <w:rPr>
          <w:rFonts w:hint="eastAsia" w:ascii="方正小标宋简体" w:eastAsia="方正小标宋简体"/>
          <w:sz w:val="44"/>
          <w:szCs w:val="44"/>
          <w:lang w:val="en-US" w:eastAsia="zh-CN"/>
        </w:rPr>
        <w:t>5</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上半年</w:t>
      </w:r>
      <w:r>
        <w:rPr>
          <w:rFonts w:hint="eastAsia" w:ascii="方正小标宋简体" w:eastAsia="方正小标宋简体"/>
          <w:sz w:val="44"/>
          <w:szCs w:val="44"/>
        </w:rPr>
        <w:t>全面从严治党（党建）责任落实情况检查</w:t>
      </w:r>
      <w:r>
        <w:rPr>
          <w:rFonts w:hint="eastAsia" w:ascii="方正小标宋简体" w:eastAsia="方正小标宋简体"/>
          <w:sz w:val="44"/>
          <w:szCs w:val="44"/>
          <w:lang w:val="en-US" w:eastAsia="zh-CN"/>
        </w:rPr>
        <w:t>自查</w:t>
      </w:r>
      <w:r>
        <w:rPr>
          <w:rFonts w:hint="eastAsia" w:ascii="方正小标宋简体" w:eastAsia="方正小标宋简体"/>
          <w:sz w:val="44"/>
          <w:szCs w:val="44"/>
        </w:rPr>
        <w:t>表</w:t>
      </w:r>
    </w:p>
    <w:p w14:paraId="30DB7A9C">
      <w:pPr>
        <w:spacing w:line="560" w:lineRule="exact"/>
        <w:jc w:val="distribute"/>
        <w:rPr>
          <w:rFonts w:ascii="方正小标宋简体" w:eastAsia="方正小标宋简体"/>
          <w:spacing w:val="0"/>
          <w:sz w:val="32"/>
          <w:szCs w:val="32"/>
        </w:rPr>
      </w:pPr>
      <w:r>
        <w:rPr>
          <w:rFonts w:hint="eastAsia" w:ascii="楷体_GB2312" w:hAnsi="黑体" w:eastAsia="楷体_GB2312"/>
          <w:spacing w:val="0"/>
          <w:sz w:val="32"/>
          <w:szCs w:val="32"/>
        </w:rPr>
        <w:t>填报单位</w:t>
      </w:r>
      <w:r>
        <w:rPr>
          <w:rFonts w:hint="eastAsia" w:ascii="楷体_GB2312" w:hAnsi="黑体" w:eastAsia="楷体_GB2312"/>
          <w:spacing w:val="0"/>
          <w:sz w:val="32"/>
          <w:szCs w:val="32"/>
          <w:lang w:eastAsia="zh-CN"/>
        </w:rPr>
        <w:t>（</w:t>
      </w:r>
      <w:r>
        <w:rPr>
          <w:rFonts w:hint="eastAsia" w:ascii="楷体_GB2312" w:hAnsi="黑体" w:eastAsia="楷体_GB2312"/>
          <w:spacing w:val="0"/>
          <w:sz w:val="32"/>
          <w:szCs w:val="32"/>
          <w:lang w:val="en-US" w:eastAsia="zh-CN"/>
        </w:rPr>
        <w:t>盖章</w:t>
      </w:r>
      <w:r>
        <w:rPr>
          <w:rFonts w:hint="eastAsia" w:ascii="楷体_GB2312" w:hAnsi="黑体" w:eastAsia="楷体_GB2312"/>
          <w:spacing w:val="0"/>
          <w:sz w:val="32"/>
          <w:szCs w:val="32"/>
          <w:lang w:eastAsia="zh-CN"/>
        </w:rPr>
        <w:t>）</w:t>
      </w:r>
      <w:r>
        <w:rPr>
          <w:rFonts w:hint="eastAsia" w:ascii="楷体_GB2312" w:hAnsi="黑体" w:eastAsia="楷体_GB2312"/>
          <w:spacing w:val="0"/>
          <w:sz w:val="32"/>
          <w:szCs w:val="32"/>
        </w:rPr>
        <w:t xml:space="preserve">：    </w:t>
      </w:r>
      <w:r>
        <w:rPr>
          <w:rFonts w:hint="eastAsia" w:ascii="楷体_GB2312" w:hAnsi="黑体" w:eastAsia="楷体_GB2312"/>
          <w:spacing w:val="0"/>
          <w:sz w:val="32"/>
          <w:szCs w:val="32"/>
          <w:lang w:val="en-US" w:eastAsia="zh-CN"/>
        </w:rPr>
        <w:t xml:space="preserve">         </w:t>
      </w:r>
      <w:r>
        <w:rPr>
          <w:rFonts w:hint="eastAsia" w:ascii="楷体_GB2312" w:hAnsi="黑体" w:eastAsia="楷体_GB2312"/>
          <w:spacing w:val="0"/>
          <w:sz w:val="32"/>
          <w:szCs w:val="32"/>
        </w:rPr>
        <w:t xml:space="preserve">       </w:t>
      </w:r>
      <w:r>
        <w:rPr>
          <w:rFonts w:hint="eastAsia" w:ascii="楷体_GB2312" w:hAnsi="黑体" w:eastAsia="楷体_GB2312"/>
          <w:spacing w:val="0"/>
          <w:sz w:val="32"/>
          <w:szCs w:val="32"/>
          <w:lang w:val="en-US" w:eastAsia="zh-CN"/>
        </w:rPr>
        <w:t>负责人签字：</w:t>
      </w:r>
      <w:r>
        <w:rPr>
          <w:rFonts w:hint="eastAsia" w:ascii="楷体_GB2312" w:hAnsi="黑体" w:eastAsia="楷体_GB2312"/>
          <w:spacing w:val="0"/>
          <w:sz w:val="32"/>
          <w:szCs w:val="32"/>
        </w:rPr>
        <w:t xml:space="preserve"> </w:t>
      </w:r>
      <w:r>
        <w:rPr>
          <w:rFonts w:hint="eastAsia" w:ascii="楷体_GB2312" w:hAnsi="黑体" w:eastAsia="楷体_GB2312"/>
          <w:spacing w:val="0"/>
          <w:sz w:val="32"/>
          <w:szCs w:val="32"/>
          <w:lang w:val="en-US" w:eastAsia="zh-CN"/>
        </w:rPr>
        <w:t xml:space="preserve">  </w:t>
      </w:r>
      <w:r>
        <w:rPr>
          <w:rFonts w:hint="eastAsia" w:ascii="楷体_GB2312" w:hAnsi="黑体" w:eastAsia="楷体_GB2312"/>
          <w:spacing w:val="0"/>
          <w:sz w:val="32"/>
          <w:szCs w:val="32"/>
        </w:rPr>
        <w:t xml:space="preserve">        填报时间：202</w:t>
      </w:r>
      <w:r>
        <w:rPr>
          <w:rFonts w:hint="eastAsia" w:ascii="楷体_GB2312" w:hAnsi="黑体" w:eastAsia="楷体_GB2312"/>
          <w:spacing w:val="0"/>
          <w:sz w:val="32"/>
          <w:szCs w:val="32"/>
          <w:lang w:val="en-US" w:eastAsia="zh-CN"/>
        </w:rPr>
        <w:t>5</w:t>
      </w:r>
      <w:r>
        <w:rPr>
          <w:rFonts w:hint="eastAsia" w:ascii="楷体_GB2312" w:hAnsi="黑体" w:eastAsia="楷体_GB2312"/>
          <w:spacing w:val="0"/>
          <w:sz w:val="32"/>
          <w:szCs w:val="32"/>
        </w:rPr>
        <w:t>年</w:t>
      </w:r>
      <w:r>
        <w:rPr>
          <w:rFonts w:hint="eastAsia" w:ascii="楷体_GB2312" w:hAnsi="黑体" w:eastAsia="楷体_GB2312"/>
          <w:spacing w:val="0"/>
          <w:sz w:val="32"/>
          <w:szCs w:val="32"/>
          <w:lang w:val="en-US" w:eastAsia="zh-CN"/>
        </w:rPr>
        <w:t>6</w:t>
      </w:r>
      <w:r>
        <w:rPr>
          <w:rFonts w:hint="eastAsia" w:ascii="楷体_GB2312" w:hAnsi="黑体" w:eastAsia="楷体_GB2312"/>
          <w:spacing w:val="0"/>
          <w:sz w:val="32"/>
          <w:szCs w:val="32"/>
        </w:rPr>
        <w:t>月</w:t>
      </w:r>
      <w:r>
        <w:rPr>
          <w:rFonts w:hint="eastAsia" w:ascii="楷体_GB2312" w:hAnsi="黑体" w:eastAsia="楷体_GB2312"/>
          <w:spacing w:val="0"/>
          <w:sz w:val="32"/>
          <w:szCs w:val="32"/>
          <w:lang w:val="en-US" w:eastAsia="zh-CN"/>
        </w:rPr>
        <w:t>X</w:t>
      </w:r>
      <w:r>
        <w:rPr>
          <w:rFonts w:hint="eastAsia" w:ascii="楷体_GB2312" w:hAnsi="黑体" w:eastAsia="楷体_GB2312"/>
          <w:spacing w:val="0"/>
          <w:sz w:val="32"/>
          <w:szCs w:val="32"/>
        </w:rPr>
        <w:t>日</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541"/>
        <w:gridCol w:w="5324"/>
        <w:gridCol w:w="6096"/>
        <w:gridCol w:w="673"/>
      </w:tblGrid>
      <w:tr w14:paraId="7107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176" w:type="pct"/>
            <w:noWrap w:val="0"/>
            <w:vAlign w:val="center"/>
          </w:tcPr>
          <w:p w14:paraId="66A52728">
            <w:pPr>
              <w:spacing w:line="400" w:lineRule="exact"/>
              <w:jc w:val="center"/>
              <w:rPr>
                <w:rFonts w:ascii="黑体" w:hAnsi="黑体" w:eastAsia="黑体"/>
                <w:sz w:val="28"/>
                <w:szCs w:val="28"/>
              </w:rPr>
            </w:pPr>
            <w:r>
              <w:rPr>
                <w:rFonts w:hint="eastAsia" w:ascii="黑体" w:hAnsi="黑体" w:eastAsia="黑体"/>
                <w:sz w:val="28"/>
                <w:szCs w:val="28"/>
              </w:rPr>
              <w:t>序号</w:t>
            </w:r>
          </w:p>
        </w:tc>
        <w:tc>
          <w:tcPr>
            <w:tcW w:w="545" w:type="pct"/>
            <w:noWrap w:val="0"/>
            <w:vAlign w:val="center"/>
          </w:tcPr>
          <w:p w14:paraId="71620C06">
            <w:pPr>
              <w:spacing w:line="400" w:lineRule="exact"/>
              <w:jc w:val="center"/>
              <w:rPr>
                <w:rFonts w:hint="default" w:ascii="黑体" w:hAnsi="黑体" w:eastAsia="黑体"/>
                <w:sz w:val="28"/>
                <w:szCs w:val="28"/>
                <w:lang w:val="en-US" w:eastAsia="zh-CN"/>
              </w:rPr>
            </w:pPr>
            <w:r>
              <w:rPr>
                <w:rFonts w:hint="eastAsia" w:ascii="黑体" w:hAnsi="黑体" w:eastAsia="黑体"/>
                <w:sz w:val="28"/>
                <w:szCs w:val="28"/>
                <w:lang w:val="en-US" w:eastAsia="zh-CN"/>
              </w:rPr>
              <w:t>一级指标</w:t>
            </w:r>
          </w:p>
        </w:tc>
        <w:tc>
          <w:tcPr>
            <w:tcW w:w="1883" w:type="pct"/>
            <w:noWrap w:val="0"/>
            <w:vAlign w:val="center"/>
          </w:tcPr>
          <w:p w14:paraId="09553E19">
            <w:pPr>
              <w:spacing w:line="400" w:lineRule="exact"/>
              <w:jc w:val="center"/>
              <w:rPr>
                <w:rFonts w:hint="default" w:ascii="黑体" w:hAnsi="黑体" w:eastAsia="黑体"/>
                <w:sz w:val="28"/>
                <w:szCs w:val="28"/>
                <w:lang w:val="en-US"/>
              </w:rPr>
            </w:pPr>
            <w:r>
              <w:rPr>
                <w:rFonts w:hint="eastAsia" w:ascii="黑体" w:hAnsi="黑体" w:eastAsia="黑体"/>
                <w:sz w:val="28"/>
                <w:szCs w:val="28"/>
                <w:lang w:val="en-US" w:eastAsia="zh-CN"/>
              </w:rPr>
              <w:t>二级指标</w:t>
            </w:r>
          </w:p>
        </w:tc>
        <w:tc>
          <w:tcPr>
            <w:tcW w:w="2156" w:type="pct"/>
            <w:noWrap w:val="0"/>
            <w:vAlign w:val="center"/>
          </w:tcPr>
          <w:p w14:paraId="03BF36DD">
            <w:pPr>
              <w:spacing w:line="400" w:lineRule="exact"/>
              <w:jc w:val="center"/>
              <w:rPr>
                <w:rFonts w:ascii="黑体" w:hAnsi="黑体" w:eastAsia="黑体"/>
                <w:sz w:val="28"/>
                <w:szCs w:val="28"/>
              </w:rPr>
            </w:pPr>
            <w:r>
              <w:rPr>
                <w:rFonts w:hint="eastAsia" w:ascii="黑体" w:hAnsi="黑体" w:eastAsia="黑体"/>
                <w:sz w:val="28"/>
                <w:szCs w:val="28"/>
              </w:rPr>
              <w:t>简要说明</w:t>
            </w:r>
          </w:p>
        </w:tc>
        <w:tc>
          <w:tcPr>
            <w:tcW w:w="238" w:type="pct"/>
            <w:noWrap w:val="0"/>
            <w:vAlign w:val="center"/>
          </w:tcPr>
          <w:p w14:paraId="4A7A3827">
            <w:pPr>
              <w:spacing w:line="400" w:lineRule="exact"/>
              <w:jc w:val="center"/>
              <w:rPr>
                <w:rFonts w:ascii="黑体" w:hAnsi="黑体" w:eastAsia="黑体"/>
                <w:sz w:val="28"/>
                <w:szCs w:val="28"/>
              </w:rPr>
            </w:pPr>
            <w:r>
              <w:rPr>
                <w:rFonts w:hint="eastAsia" w:ascii="黑体" w:hAnsi="黑体" w:eastAsia="黑体"/>
                <w:sz w:val="28"/>
                <w:szCs w:val="28"/>
              </w:rPr>
              <w:t>备注</w:t>
            </w:r>
          </w:p>
        </w:tc>
      </w:tr>
      <w:tr w14:paraId="686CF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 w:type="pct"/>
            <w:noWrap w:val="0"/>
            <w:vAlign w:val="center"/>
          </w:tcPr>
          <w:p w14:paraId="2DD24295">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eastAsia" w:ascii="仿宋_GB2312" w:hAnsi="仿宋_GB2312" w:eastAsia="仿宋_GB2312" w:cs="仿宋_GB2312"/>
                <w:sz w:val="24"/>
                <w:szCs w:val="24"/>
              </w:rPr>
            </w:pPr>
            <w:r>
              <w:rPr>
                <w:rFonts w:hint="default" w:ascii="仿宋_GB2312" w:hAnsi="仿宋_GB2312" w:eastAsia="仿宋_GB2312" w:cs="仿宋_GB2312"/>
                <w:kern w:val="2"/>
                <w:sz w:val="24"/>
                <w:szCs w:val="24"/>
                <w:lang w:val="en-US" w:eastAsia="zh-CN" w:bidi="ar-SA"/>
              </w:rPr>
              <w:t>1</w:t>
            </w:r>
          </w:p>
        </w:tc>
        <w:tc>
          <w:tcPr>
            <w:tcW w:w="545" w:type="pct"/>
            <w:vMerge w:val="restart"/>
            <w:noWrap w:val="0"/>
            <w:vAlign w:val="center"/>
          </w:tcPr>
          <w:p w14:paraId="7C367CC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党风廉政建设责任制落实情况</w:t>
            </w:r>
          </w:p>
        </w:tc>
        <w:tc>
          <w:tcPr>
            <w:tcW w:w="1883" w:type="pct"/>
            <w:noWrap w:val="0"/>
            <w:vAlign w:val="center"/>
          </w:tcPr>
          <w:p w14:paraId="1D8E568A">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及时</w:t>
            </w:r>
            <w:r>
              <w:rPr>
                <w:rFonts w:hint="eastAsia" w:ascii="仿宋_GB2312" w:hAnsi="仿宋_GB2312" w:eastAsia="仿宋_GB2312" w:cs="仿宋_GB2312"/>
                <w:color w:val="000000"/>
                <w:sz w:val="24"/>
                <w:szCs w:val="24"/>
                <w:lang w:val="en-US" w:eastAsia="zh-CN"/>
              </w:rPr>
              <w:t>组织学习党中央关于全面从严治党的新部署新要求和上级有关会议精神，及时</w:t>
            </w:r>
            <w:r>
              <w:rPr>
                <w:rFonts w:hint="eastAsia" w:ascii="仿宋_GB2312" w:hAnsi="仿宋_GB2312" w:eastAsia="仿宋_GB2312" w:cs="仿宋_GB2312"/>
                <w:color w:val="000000"/>
                <w:sz w:val="24"/>
                <w:szCs w:val="24"/>
              </w:rPr>
              <w:t>传达学习</w:t>
            </w:r>
            <w:r>
              <w:rPr>
                <w:rFonts w:hint="eastAsia" w:ascii="仿宋_GB2312" w:hAnsi="仿宋_GB2312" w:eastAsia="仿宋_GB2312" w:cs="仿宋_GB2312"/>
                <w:color w:val="000000"/>
                <w:sz w:val="24"/>
                <w:szCs w:val="24"/>
                <w:lang w:val="en-US" w:eastAsia="zh-CN"/>
              </w:rPr>
              <w:t>学</w:t>
            </w:r>
            <w:r>
              <w:rPr>
                <w:rFonts w:hint="eastAsia" w:ascii="仿宋_GB2312" w:hAnsi="仿宋_GB2312" w:eastAsia="仿宋_GB2312" w:cs="仿宋_GB2312"/>
                <w:color w:val="000000"/>
                <w:sz w:val="24"/>
                <w:szCs w:val="24"/>
              </w:rPr>
              <w:t>校202</w:t>
            </w:r>
            <w:r>
              <w:rPr>
                <w:rFonts w:hint="eastAsia" w:ascii="仿宋_GB2312" w:hAnsi="仿宋_GB2312" w:eastAsia="仿宋_GB2312" w:cs="仿宋_GB2312"/>
                <w:color w:val="000000"/>
                <w:sz w:val="24"/>
                <w:szCs w:val="24"/>
                <w:lang w:val="en-US" w:eastAsia="zh-CN"/>
              </w:rPr>
              <w:t>5</w:t>
            </w:r>
            <w:r>
              <w:rPr>
                <w:rFonts w:hint="eastAsia" w:ascii="仿宋_GB2312" w:hAnsi="仿宋_GB2312" w:eastAsia="仿宋_GB2312" w:cs="仿宋_GB2312"/>
                <w:color w:val="000000"/>
                <w:sz w:val="24"/>
                <w:szCs w:val="24"/>
              </w:rPr>
              <w:t>年全面从严治党工作会议精神。</w:t>
            </w:r>
          </w:p>
        </w:tc>
        <w:tc>
          <w:tcPr>
            <w:tcW w:w="2156" w:type="pct"/>
            <w:noWrap w:val="0"/>
            <w:vAlign w:val="center"/>
          </w:tcPr>
          <w:p w14:paraId="2F4AED46">
            <w:pPr>
              <w:keepNext w:val="0"/>
              <w:keepLines w:val="0"/>
              <w:pageBreakBefore w:val="0"/>
              <w:widowControl w:val="0"/>
              <w:kinsoku/>
              <w:wordWrap/>
              <w:overflowPunct/>
              <w:topLinePunct w:val="0"/>
              <w:autoSpaceDE/>
              <w:autoSpaceDN/>
              <w:bidi w:val="0"/>
              <w:adjustRightInd/>
              <w:snapToGrid/>
              <w:spacing w:line="320" w:lineRule="exact"/>
              <w:ind w:left="0" w:leftChars="0"/>
              <w:jc w:val="both"/>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填写示例：</w:t>
            </w:r>
          </w:p>
          <w:p w14:paraId="43D45CEC">
            <w:pPr>
              <w:keepNext w:val="0"/>
              <w:keepLines w:val="0"/>
              <w:pageBreakBefore w:val="0"/>
              <w:widowControl w:val="0"/>
              <w:kinsoku/>
              <w:wordWrap/>
              <w:overflowPunct/>
              <w:topLinePunct w:val="0"/>
              <w:autoSpaceDE/>
              <w:autoSpaceDN/>
              <w:bidi w:val="0"/>
              <w:adjustRightInd/>
              <w:snapToGrid/>
              <w:spacing w:line="320" w:lineRule="exact"/>
              <w:ind w:left="0" w:leftChars="0"/>
              <w:jc w:val="both"/>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1.</w:t>
            </w:r>
            <w:r>
              <w:rPr>
                <w:rFonts w:hint="eastAsia" w:ascii="仿宋_GB2312" w:hAnsi="仿宋_GB2312" w:eastAsia="仿宋_GB2312" w:cs="仿宋_GB2312"/>
                <w:color w:val="000000"/>
                <w:sz w:val="24"/>
                <w:szCs w:val="24"/>
              </w:rPr>
              <w:t>X月X日</w:t>
            </w:r>
            <w:r>
              <w:rPr>
                <w:rFonts w:hint="eastAsia" w:ascii="仿宋_GB2312" w:hAnsi="仿宋_GB2312" w:eastAsia="仿宋_GB2312" w:cs="仿宋_GB2312"/>
                <w:color w:val="000000"/>
                <w:sz w:val="24"/>
                <w:szCs w:val="24"/>
                <w:lang w:val="en-US" w:eastAsia="zh-CN"/>
              </w:rPr>
              <w:t>开展中心组理论学习</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学习传达习近平总书记在……上的重要讲话精神</w:t>
            </w:r>
            <w:r>
              <w:rPr>
                <w:rFonts w:hint="eastAsia" w:ascii="仿宋_GB2312" w:hAnsi="仿宋_GB2312" w:eastAsia="仿宋_GB2312" w:cs="仿宋_GB2312"/>
                <w:color w:val="000000"/>
                <w:sz w:val="24"/>
                <w:szCs w:val="24"/>
                <w:lang w:eastAsia="zh-CN"/>
              </w:rPr>
              <w:t>。</w:t>
            </w:r>
          </w:p>
          <w:p w14:paraId="4674B597">
            <w:pPr>
              <w:keepNext w:val="0"/>
              <w:keepLines w:val="0"/>
              <w:pageBreakBefore w:val="0"/>
              <w:widowControl w:val="0"/>
              <w:kinsoku/>
              <w:wordWrap/>
              <w:overflowPunct/>
              <w:topLinePunct w:val="0"/>
              <w:autoSpaceDE/>
              <w:autoSpaceDN/>
              <w:bidi w:val="0"/>
              <w:adjustRightInd/>
              <w:snapToGrid/>
              <w:spacing w:line="320" w:lineRule="exact"/>
              <w:ind w:left="0" w:leftChars="0"/>
              <w:jc w:val="both"/>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2.</w:t>
            </w:r>
            <w:r>
              <w:rPr>
                <w:rFonts w:hint="eastAsia" w:ascii="仿宋_GB2312" w:hAnsi="仿宋_GB2312" w:eastAsia="仿宋_GB2312" w:cs="仿宋_GB2312"/>
                <w:color w:val="000000"/>
                <w:sz w:val="24"/>
                <w:szCs w:val="24"/>
              </w:rPr>
              <w:t>X月X日召开</w:t>
            </w:r>
            <w:r>
              <w:rPr>
                <w:rFonts w:hint="eastAsia" w:ascii="仿宋_GB2312" w:hAnsi="仿宋_GB2312" w:eastAsia="仿宋_GB2312" w:cs="仿宋_GB2312"/>
                <w:color w:val="000000"/>
                <w:sz w:val="24"/>
                <w:szCs w:val="24"/>
                <w:lang w:val="en-US" w:eastAsia="zh-CN"/>
              </w:rPr>
              <w:t>XX</w:t>
            </w:r>
            <w:r>
              <w:rPr>
                <w:rFonts w:hint="eastAsia" w:ascii="仿宋_GB2312" w:hAnsi="仿宋_GB2312" w:eastAsia="仿宋_GB2312" w:cs="仿宋_GB2312"/>
                <w:color w:val="000000"/>
                <w:sz w:val="24"/>
                <w:szCs w:val="24"/>
              </w:rPr>
              <w:t>会</w:t>
            </w:r>
            <w:r>
              <w:rPr>
                <w:rFonts w:hint="eastAsia" w:ascii="仿宋_GB2312" w:hAnsi="仿宋_GB2312" w:eastAsia="仿宋_GB2312" w:cs="仿宋_GB2312"/>
                <w:color w:val="000000"/>
                <w:sz w:val="24"/>
                <w:szCs w:val="24"/>
                <w:lang w:val="en-US" w:eastAsia="zh-CN"/>
              </w:rPr>
              <w:t>议</w:t>
            </w:r>
            <w:r>
              <w:rPr>
                <w:rFonts w:hint="eastAsia" w:ascii="仿宋_GB2312" w:hAnsi="仿宋_GB2312" w:eastAsia="仿宋_GB2312" w:cs="仿宋_GB2312"/>
                <w:color w:val="000000"/>
                <w:sz w:val="24"/>
                <w:szCs w:val="24"/>
              </w:rPr>
              <w:t>，对我校202</w:t>
            </w:r>
            <w:r>
              <w:rPr>
                <w:rFonts w:hint="eastAsia" w:ascii="仿宋_GB2312" w:hAnsi="仿宋_GB2312" w:eastAsia="仿宋_GB2312" w:cs="仿宋_GB2312"/>
                <w:color w:val="000000"/>
                <w:sz w:val="24"/>
                <w:szCs w:val="24"/>
                <w:lang w:val="en-US" w:eastAsia="zh-CN"/>
              </w:rPr>
              <w:t>5</w:t>
            </w:r>
            <w:r>
              <w:rPr>
                <w:rFonts w:hint="eastAsia" w:ascii="仿宋_GB2312" w:hAnsi="仿宋_GB2312" w:eastAsia="仿宋_GB2312" w:cs="仿宋_GB2312"/>
                <w:color w:val="000000"/>
                <w:sz w:val="24"/>
                <w:szCs w:val="24"/>
              </w:rPr>
              <w:t>年度全面从严治党工作会议精神进行传达</w:t>
            </w:r>
            <w:r>
              <w:rPr>
                <w:rFonts w:hint="eastAsia" w:ascii="仿宋_GB2312" w:hAnsi="仿宋_GB2312" w:eastAsia="仿宋_GB2312" w:cs="仿宋_GB2312"/>
                <w:color w:val="000000"/>
                <w:sz w:val="24"/>
                <w:szCs w:val="24"/>
                <w:lang w:eastAsia="zh-CN"/>
              </w:rPr>
              <w:t>。</w:t>
            </w:r>
          </w:p>
          <w:p w14:paraId="2D3645BF">
            <w:pPr>
              <w:keepNext w:val="0"/>
              <w:keepLines w:val="0"/>
              <w:pageBreakBefore w:val="0"/>
              <w:widowControl w:val="0"/>
              <w:kinsoku/>
              <w:wordWrap/>
              <w:overflowPunct/>
              <w:topLinePunct w:val="0"/>
              <w:autoSpaceDE/>
              <w:autoSpaceDN/>
              <w:bidi w:val="0"/>
              <w:adjustRightInd/>
              <w:snapToGrid/>
              <w:spacing w:line="320" w:lineRule="exact"/>
              <w:ind w:left="0" w:leftChars="0"/>
              <w:jc w:val="both"/>
              <w:textAlignment w:val="auto"/>
              <w:rPr>
                <w:rFonts w:hint="eastAsia"/>
              </w:rPr>
            </w:pPr>
            <w:r>
              <w:rPr>
                <w:rFonts w:hint="eastAsia" w:ascii="仿宋_GB2312" w:hAnsi="仿宋_GB2312" w:eastAsia="仿宋_GB2312" w:cs="仿宋_GB2312"/>
                <w:color w:val="000000"/>
                <w:sz w:val="24"/>
                <w:szCs w:val="24"/>
                <w:lang w:val="en-US" w:eastAsia="zh-CN"/>
              </w:rPr>
              <w:t>3.</w:t>
            </w:r>
            <w:r>
              <w:rPr>
                <w:rFonts w:hint="eastAsia" w:ascii="仿宋_GB2312" w:hAnsi="仿宋_GB2312" w:eastAsia="仿宋_GB2312" w:cs="仿宋_GB2312"/>
                <w:color w:val="000000"/>
                <w:sz w:val="24"/>
                <w:szCs w:val="24"/>
                <w:lang w:eastAsia="zh-CN"/>
              </w:rPr>
              <w:t>……</w:t>
            </w:r>
          </w:p>
        </w:tc>
        <w:tc>
          <w:tcPr>
            <w:tcW w:w="238" w:type="pct"/>
            <w:noWrap w:val="0"/>
            <w:vAlign w:val="center"/>
          </w:tcPr>
          <w:p w14:paraId="13B74FE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045A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6" w:type="pct"/>
            <w:noWrap w:val="0"/>
            <w:vAlign w:val="center"/>
          </w:tcPr>
          <w:p w14:paraId="3E1FB59B">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2</w:t>
            </w:r>
          </w:p>
        </w:tc>
        <w:tc>
          <w:tcPr>
            <w:tcW w:w="545" w:type="pct"/>
            <w:vMerge w:val="continue"/>
            <w:noWrap w:val="0"/>
            <w:vAlign w:val="center"/>
          </w:tcPr>
          <w:p w14:paraId="4117163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rPr>
            </w:pPr>
          </w:p>
        </w:tc>
        <w:tc>
          <w:tcPr>
            <w:tcW w:w="1883" w:type="pct"/>
            <w:noWrap w:val="0"/>
            <w:vAlign w:val="center"/>
          </w:tcPr>
          <w:p w14:paraId="0DCCD0D3">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FF"/>
                <w:sz w:val="24"/>
                <w:szCs w:val="24"/>
                <w:lang w:eastAsia="zh-CN"/>
              </w:rPr>
            </w:pPr>
            <w:r>
              <w:rPr>
                <w:rFonts w:hint="eastAsia" w:ascii="仿宋_GB2312" w:hAnsi="仿宋_GB2312" w:eastAsia="仿宋_GB2312" w:cs="仿宋_GB2312"/>
                <w:color w:val="000000"/>
                <w:sz w:val="24"/>
                <w:szCs w:val="24"/>
                <w:lang w:val="en-US" w:eastAsia="zh-CN"/>
              </w:rPr>
              <w:t>巩固拓展党纪学习教育成果</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对本单位党员干部开展经常性纪律教育。</w:t>
            </w:r>
          </w:p>
        </w:tc>
        <w:tc>
          <w:tcPr>
            <w:tcW w:w="2156" w:type="pct"/>
            <w:noWrap w:val="0"/>
            <w:vAlign w:val="center"/>
          </w:tcPr>
          <w:p w14:paraId="4192C36F">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color w:val="0000FF"/>
                <w:sz w:val="24"/>
                <w:szCs w:val="24"/>
              </w:rPr>
            </w:pPr>
          </w:p>
        </w:tc>
        <w:tc>
          <w:tcPr>
            <w:tcW w:w="238" w:type="pct"/>
            <w:noWrap w:val="0"/>
            <w:vAlign w:val="center"/>
          </w:tcPr>
          <w:p w14:paraId="51C6A7F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7630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76" w:type="pct"/>
            <w:noWrap w:val="0"/>
            <w:vAlign w:val="center"/>
          </w:tcPr>
          <w:p w14:paraId="15AE264C">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3</w:t>
            </w:r>
          </w:p>
        </w:tc>
        <w:tc>
          <w:tcPr>
            <w:tcW w:w="545" w:type="pct"/>
            <w:vMerge w:val="continue"/>
            <w:noWrap w:val="0"/>
            <w:vAlign w:val="center"/>
          </w:tcPr>
          <w:p w14:paraId="08ADA1A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rPr>
            </w:pPr>
          </w:p>
        </w:tc>
        <w:tc>
          <w:tcPr>
            <w:tcW w:w="1883" w:type="pct"/>
            <w:noWrap w:val="0"/>
            <w:vAlign w:val="center"/>
          </w:tcPr>
          <w:p w14:paraId="1C2BA6DC">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班</w:t>
            </w:r>
            <w:r>
              <w:rPr>
                <w:rFonts w:hint="eastAsia" w:ascii="仿宋_GB2312" w:hAnsi="仿宋_GB2312" w:eastAsia="仿宋_GB2312" w:cs="仿宋_GB2312"/>
                <w:color w:val="000000"/>
                <w:sz w:val="24"/>
                <w:szCs w:val="24"/>
              </w:rPr>
              <w:t>子成员讲授廉政党课</w:t>
            </w:r>
            <w:r>
              <w:rPr>
                <w:rFonts w:hint="eastAsia" w:ascii="仿宋_GB2312" w:hAnsi="仿宋_GB2312" w:eastAsia="仿宋_GB2312" w:cs="仿宋_GB2312"/>
                <w:color w:val="000000"/>
                <w:sz w:val="24"/>
                <w:szCs w:val="24"/>
                <w:lang w:val="en-US" w:eastAsia="zh-CN"/>
              </w:rPr>
              <w:t>情况</w:t>
            </w:r>
            <w:r>
              <w:rPr>
                <w:rFonts w:hint="eastAsia" w:ascii="仿宋_GB2312" w:hAnsi="仿宋_GB2312" w:eastAsia="仿宋_GB2312" w:cs="仿宋_GB2312"/>
                <w:color w:val="000000"/>
                <w:sz w:val="24"/>
                <w:szCs w:val="24"/>
              </w:rPr>
              <w:t>。</w:t>
            </w:r>
          </w:p>
        </w:tc>
        <w:tc>
          <w:tcPr>
            <w:tcW w:w="2156" w:type="pct"/>
            <w:noWrap w:val="0"/>
            <w:vAlign w:val="center"/>
          </w:tcPr>
          <w:p w14:paraId="10A57726">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rPr>
            </w:pPr>
          </w:p>
        </w:tc>
        <w:tc>
          <w:tcPr>
            <w:tcW w:w="238" w:type="pct"/>
            <w:noWrap w:val="0"/>
            <w:vAlign w:val="center"/>
          </w:tcPr>
          <w:p w14:paraId="46A0258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6E78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 w:type="pct"/>
            <w:noWrap w:val="0"/>
            <w:vAlign w:val="center"/>
          </w:tcPr>
          <w:p w14:paraId="2E2D296E">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4</w:t>
            </w:r>
          </w:p>
        </w:tc>
        <w:tc>
          <w:tcPr>
            <w:tcW w:w="545" w:type="pct"/>
            <w:vMerge w:val="continue"/>
            <w:noWrap w:val="0"/>
            <w:vAlign w:val="center"/>
          </w:tcPr>
          <w:p w14:paraId="716A1A0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rPr>
            </w:pPr>
          </w:p>
        </w:tc>
        <w:tc>
          <w:tcPr>
            <w:tcW w:w="1883" w:type="pct"/>
            <w:noWrap w:val="0"/>
            <w:vAlign w:val="center"/>
          </w:tcPr>
          <w:p w14:paraId="77B328CE">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及时</w:t>
            </w:r>
            <w:r>
              <w:rPr>
                <w:rFonts w:hint="eastAsia" w:ascii="仿宋_GB2312" w:hAnsi="仿宋_GB2312" w:eastAsia="仿宋_GB2312" w:cs="仿宋_GB2312"/>
                <w:color w:val="000000"/>
                <w:sz w:val="24"/>
                <w:szCs w:val="24"/>
              </w:rPr>
              <w:t>发现本单位干部职工在党风廉政方面存在</w:t>
            </w:r>
            <w:r>
              <w:rPr>
                <w:rFonts w:hint="eastAsia" w:ascii="仿宋_GB2312" w:hAnsi="仿宋_GB2312" w:eastAsia="仿宋_GB2312" w:cs="仿宋_GB2312"/>
                <w:color w:val="000000"/>
                <w:sz w:val="24"/>
                <w:szCs w:val="24"/>
                <w:lang w:val="en-US" w:eastAsia="zh-CN"/>
              </w:rPr>
              <w:t>的</w:t>
            </w:r>
            <w:r>
              <w:rPr>
                <w:rFonts w:hint="eastAsia" w:ascii="仿宋_GB2312" w:hAnsi="仿宋_GB2312" w:eastAsia="仿宋_GB2312" w:cs="仿宋_GB2312"/>
                <w:color w:val="000000"/>
                <w:sz w:val="24"/>
                <w:szCs w:val="24"/>
              </w:rPr>
              <w:t>苗头性、倾向性问题，并通过提醒谈话或批评教育等方式早提醒、早纠正。</w:t>
            </w:r>
          </w:p>
        </w:tc>
        <w:tc>
          <w:tcPr>
            <w:tcW w:w="2156" w:type="pct"/>
            <w:noWrap w:val="0"/>
            <w:vAlign w:val="center"/>
          </w:tcPr>
          <w:p w14:paraId="337B3D0D">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rPr>
            </w:pPr>
          </w:p>
        </w:tc>
        <w:tc>
          <w:tcPr>
            <w:tcW w:w="238" w:type="pct"/>
            <w:noWrap w:val="0"/>
            <w:vAlign w:val="center"/>
          </w:tcPr>
          <w:p w14:paraId="06CEDC1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7B11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76" w:type="pct"/>
            <w:noWrap w:val="0"/>
            <w:vAlign w:val="center"/>
          </w:tcPr>
          <w:p w14:paraId="55FE37D5">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545" w:type="pct"/>
            <w:vMerge w:val="restart"/>
            <w:noWrap w:val="0"/>
            <w:vAlign w:val="center"/>
          </w:tcPr>
          <w:p w14:paraId="511B1F2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开展深入贯彻中央八项规定精神学习教育情况</w:t>
            </w:r>
          </w:p>
        </w:tc>
        <w:tc>
          <w:tcPr>
            <w:tcW w:w="1883" w:type="pct"/>
            <w:noWrap w:val="0"/>
            <w:vAlign w:val="center"/>
          </w:tcPr>
          <w:p w14:paraId="4E7AA64D">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kern w:val="2"/>
                <w:sz w:val="24"/>
                <w:szCs w:val="24"/>
                <w:lang w:val="en-US" w:eastAsia="zh-CN" w:bidi="ar-SA"/>
              </w:rPr>
              <w:t>组织召开传达学校会议精神以及开展研讨情况。</w:t>
            </w:r>
          </w:p>
        </w:tc>
        <w:tc>
          <w:tcPr>
            <w:tcW w:w="2156" w:type="pct"/>
            <w:noWrap w:val="0"/>
            <w:vAlign w:val="center"/>
          </w:tcPr>
          <w:p w14:paraId="4EEA2319">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rPr>
            </w:pPr>
          </w:p>
        </w:tc>
        <w:tc>
          <w:tcPr>
            <w:tcW w:w="238" w:type="pct"/>
            <w:noWrap w:val="0"/>
            <w:vAlign w:val="center"/>
          </w:tcPr>
          <w:p w14:paraId="62C64A3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3692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176" w:type="pct"/>
            <w:noWrap w:val="0"/>
            <w:vAlign w:val="center"/>
          </w:tcPr>
          <w:p w14:paraId="10EE3594">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545" w:type="pct"/>
            <w:vMerge w:val="continue"/>
            <w:noWrap w:val="0"/>
            <w:vAlign w:val="center"/>
          </w:tcPr>
          <w:p w14:paraId="26380EF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lang w:val="en-US" w:eastAsia="zh-CN"/>
              </w:rPr>
            </w:pPr>
          </w:p>
        </w:tc>
        <w:tc>
          <w:tcPr>
            <w:tcW w:w="1883" w:type="pct"/>
            <w:noWrap w:val="0"/>
            <w:vAlign w:val="center"/>
          </w:tcPr>
          <w:p w14:paraId="541C6DAE">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及时传达</w:t>
            </w:r>
            <w:r>
              <w:rPr>
                <w:rFonts w:hint="eastAsia" w:ascii="仿宋_GB2312" w:hAnsi="仿宋_GB2312" w:eastAsia="仿宋_GB2312" w:cs="仿宋_GB2312"/>
                <w:color w:val="000000"/>
                <w:sz w:val="24"/>
                <w:szCs w:val="24"/>
                <w:lang w:val="en-US" w:eastAsia="zh-CN"/>
              </w:rPr>
              <w:t>学</w:t>
            </w:r>
            <w:r>
              <w:rPr>
                <w:rFonts w:hint="eastAsia" w:ascii="仿宋_GB2312" w:hAnsi="仿宋_GB2312" w:eastAsia="仿宋_GB2312" w:cs="仿宋_GB2312"/>
                <w:color w:val="000000"/>
                <w:sz w:val="24"/>
                <w:szCs w:val="24"/>
              </w:rPr>
              <w:t>校纪委节假日等重要时间节点</w:t>
            </w:r>
            <w:r>
              <w:rPr>
                <w:rFonts w:hint="eastAsia" w:ascii="仿宋_GB2312" w:hAnsi="仿宋_GB2312" w:eastAsia="仿宋_GB2312" w:cs="仿宋_GB2312"/>
                <w:color w:val="000000"/>
                <w:sz w:val="24"/>
                <w:szCs w:val="24"/>
                <w:lang w:val="en-US" w:eastAsia="zh-CN"/>
              </w:rPr>
              <w:t>发布的廉政提醒</w:t>
            </w:r>
            <w:r>
              <w:rPr>
                <w:rFonts w:hint="eastAsia" w:ascii="仿宋_GB2312" w:hAnsi="仿宋_GB2312" w:eastAsia="仿宋_GB2312" w:cs="仿宋_GB2312"/>
                <w:color w:val="000000"/>
                <w:sz w:val="24"/>
                <w:szCs w:val="24"/>
              </w:rPr>
              <w:t>、典型案例，开展警示教育。</w:t>
            </w:r>
          </w:p>
        </w:tc>
        <w:tc>
          <w:tcPr>
            <w:tcW w:w="2156" w:type="pct"/>
            <w:noWrap w:val="0"/>
            <w:vAlign w:val="center"/>
          </w:tcPr>
          <w:p w14:paraId="00CE664D">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rPr>
            </w:pPr>
          </w:p>
        </w:tc>
        <w:tc>
          <w:tcPr>
            <w:tcW w:w="238" w:type="pct"/>
            <w:noWrap w:val="0"/>
            <w:vAlign w:val="center"/>
          </w:tcPr>
          <w:p w14:paraId="6223B01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6DE5E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76" w:type="pct"/>
            <w:shd w:val="clear" w:color="auto" w:fill="auto"/>
            <w:noWrap w:val="0"/>
            <w:vAlign w:val="center"/>
          </w:tcPr>
          <w:p w14:paraId="0ABF1F33">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7</w:t>
            </w:r>
          </w:p>
        </w:tc>
        <w:tc>
          <w:tcPr>
            <w:tcW w:w="545" w:type="pct"/>
            <w:vMerge w:val="continue"/>
            <w:noWrap w:val="0"/>
            <w:vAlign w:val="center"/>
          </w:tcPr>
          <w:p w14:paraId="76E8002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lang w:val="en-US" w:eastAsia="zh-CN"/>
              </w:rPr>
            </w:pPr>
          </w:p>
        </w:tc>
        <w:tc>
          <w:tcPr>
            <w:tcW w:w="1883" w:type="pct"/>
            <w:noWrap w:val="0"/>
            <w:vAlign w:val="center"/>
          </w:tcPr>
          <w:p w14:paraId="5E66FE30">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lang w:val="en-US" w:eastAsia="zh-CN"/>
              </w:rPr>
              <w:t>认真学习贯彻《党员干部操办婚丧喜庆等事宜相关纪律规定》，本单位党员干部</w:t>
            </w:r>
            <w:r>
              <w:rPr>
                <w:rFonts w:hint="eastAsia" w:ascii="仿宋_GB2312" w:hAnsi="仿宋_GB2312" w:eastAsia="仿宋_GB2312" w:cs="仿宋_GB2312"/>
                <w:color w:val="000000"/>
                <w:sz w:val="24"/>
                <w:szCs w:val="24"/>
              </w:rPr>
              <w:t>及时报备操办婚丧喜庆事宜</w:t>
            </w:r>
            <w:r>
              <w:rPr>
                <w:rFonts w:hint="eastAsia" w:ascii="仿宋_GB2312" w:hAnsi="仿宋_GB2312" w:eastAsia="仿宋_GB2312" w:cs="仿宋_GB2312"/>
                <w:color w:val="000000"/>
                <w:sz w:val="24"/>
                <w:szCs w:val="24"/>
                <w:lang w:eastAsia="zh-CN"/>
              </w:rPr>
              <w:t>。</w:t>
            </w:r>
          </w:p>
        </w:tc>
        <w:tc>
          <w:tcPr>
            <w:tcW w:w="2156" w:type="pct"/>
            <w:noWrap w:val="0"/>
            <w:vAlign w:val="center"/>
          </w:tcPr>
          <w:p w14:paraId="7DB2636F">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lang w:val="en-US" w:eastAsia="zh-CN"/>
              </w:rPr>
            </w:pPr>
          </w:p>
        </w:tc>
        <w:tc>
          <w:tcPr>
            <w:tcW w:w="238" w:type="pct"/>
            <w:noWrap w:val="0"/>
            <w:vAlign w:val="center"/>
          </w:tcPr>
          <w:p w14:paraId="0230C6B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3A69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 w:type="pct"/>
            <w:shd w:val="clear" w:color="auto" w:fill="auto"/>
            <w:noWrap w:val="0"/>
            <w:vAlign w:val="center"/>
          </w:tcPr>
          <w:p w14:paraId="4F4FEFD2">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9</w:t>
            </w:r>
          </w:p>
        </w:tc>
        <w:tc>
          <w:tcPr>
            <w:tcW w:w="545" w:type="pct"/>
            <w:vMerge w:val="restart"/>
            <w:noWrap w:val="0"/>
            <w:vAlign w:val="center"/>
          </w:tcPr>
          <w:p w14:paraId="12696AF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廉政文化建设情况</w:t>
            </w:r>
          </w:p>
        </w:tc>
        <w:tc>
          <w:tcPr>
            <w:tcW w:w="1883" w:type="pct"/>
            <w:noWrap w:val="0"/>
            <w:vAlign w:val="center"/>
          </w:tcPr>
          <w:p w14:paraId="27BDF665">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扎实推进</w:t>
            </w:r>
            <w:r>
              <w:rPr>
                <w:rFonts w:hint="eastAsia" w:ascii="仿宋_GB2312" w:hAnsi="仿宋_GB2312" w:eastAsia="仿宋_GB2312" w:cs="仿宋_GB2312"/>
                <w:color w:val="000000"/>
                <w:sz w:val="24"/>
                <w:szCs w:val="24"/>
              </w:rPr>
              <w:t>“清廉</w:t>
            </w:r>
            <w:r>
              <w:rPr>
                <w:rFonts w:hint="eastAsia" w:ascii="仿宋_GB2312" w:hAnsi="仿宋_GB2312" w:eastAsia="仿宋_GB2312" w:cs="仿宋_GB2312"/>
                <w:color w:val="000000"/>
                <w:sz w:val="24"/>
                <w:szCs w:val="24"/>
                <w:lang w:val="en-US" w:eastAsia="zh-CN"/>
              </w:rPr>
              <w:t>学校</w:t>
            </w:r>
            <w:r>
              <w:rPr>
                <w:rFonts w:hint="eastAsia" w:ascii="仿宋_GB2312" w:hAnsi="仿宋_GB2312" w:eastAsia="仿宋_GB2312" w:cs="仿宋_GB2312"/>
                <w:color w:val="000000"/>
                <w:sz w:val="24"/>
                <w:szCs w:val="24"/>
              </w:rPr>
              <w:t>”</w:t>
            </w:r>
            <w:r>
              <w:rPr>
                <w:rFonts w:hint="eastAsia" w:ascii="仿宋_GB2312" w:hAnsi="仿宋_GB2312" w:eastAsia="仿宋_GB2312" w:cs="仿宋_GB2312"/>
                <w:color w:val="000000"/>
                <w:sz w:val="24"/>
                <w:szCs w:val="24"/>
                <w:lang w:val="en-US" w:eastAsia="zh-CN"/>
              </w:rPr>
              <w:t>建设，在阵地建设、品牌凝练、氛围营造等方面有一定成果</w:t>
            </w:r>
            <w:r>
              <w:rPr>
                <w:rFonts w:hint="eastAsia" w:ascii="仿宋_GB2312" w:hAnsi="仿宋_GB2312" w:eastAsia="仿宋_GB2312" w:cs="仿宋_GB2312"/>
                <w:color w:val="000000"/>
                <w:sz w:val="24"/>
                <w:szCs w:val="24"/>
                <w:lang w:eastAsia="zh-CN"/>
              </w:rPr>
              <w:t>。</w:t>
            </w:r>
          </w:p>
        </w:tc>
        <w:tc>
          <w:tcPr>
            <w:tcW w:w="2156" w:type="pct"/>
            <w:noWrap w:val="0"/>
            <w:vAlign w:val="center"/>
          </w:tcPr>
          <w:p w14:paraId="0657BF00">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通过部门网站、微信公众号、电子显示屏等各种媒体传播清廉文化。</w:t>
            </w:r>
          </w:p>
        </w:tc>
        <w:tc>
          <w:tcPr>
            <w:tcW w:w="238" w:type="pct"/>
            <w:noWrap w:val="0"/>
            <w:vAlign w:val="center"/>
          </w:tcPr>
          <w:p w14:paraId="5455078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42E7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 w:type="pct"/>
            <w:shd w:val="clear" w:color="auto" w:fill="auto"/>
            <w:noWrap w:val="0"/>
            <w:vAlign w:val="center"/>
          </w:tcPr>
          <w:p w14:paraId="61C7E54E">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10</w:t>
            </w:r>
          </w:p>
        </w:tc>
        <w:tc>
          <w:tcPr>
            <w:tcW w:w="545" w:type="pct"/>
            <w:vMerge w:val="continue"/>
            <w:noWrap w:val="0"/>
            <w:vAlign w:val="center"/>
          </w:tcPr>
          <w:p w14:paraId="2CCB361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rPr>
            </w:pPr>
          </w:p>
        </w:tc>
        <w:tc>
          <w:tcPr>
            <w:tcW w:w="1883" w:type="pct"/>
            <w:noWrap w:val="0"/>
            <w:vAlign w:val="center"/>
          </w:tcPr>
          <w:p w14:paraId="7AE29E97">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扎实开展理论研究，鼓励本单位教师积极申报廉政研究项目。</w:t>
            </w:r>
          </w:p>
        </w:tc>
        <w:tc>
          <w:tcPr>
            <w:tcW w:w="2156" w:type="pct"/>
            <w:noWrap w:val="0"/>
            <w:vAlign w:val="center"/>
          </w:tcPr>
          <w:p w14:paraId="2577D250">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lang w:val="en-US" w:eastAsia="zh-CN"/>
              </w:rPr>
            </w:pPr>
          </w:p>
        </w:tc>
        <w:tc>
          <w:tcPr>
            <w:tcW w:w="238" w:type="pct"/>
            <w:noWrap w:val="0"/>
            <w:vAlign w:val="center"/>
          </w:tcPr>
          <w:p w14:paraId="4A2339B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528D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76" w:type="pct"/>
            <w:shd w:val="clear" w:color="auto" w:fill="auto"/>
            <w:noWrap w:val="0"/>
            <w:vAlign w:val="center"/>
          </w:tcPr>
          <w:p w14:paraId="49A03F0F">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default" w:ascii="仿宋_GB2312" w:hAnsi="仿宋_GB2312" w:eastAsia="仿宋_GB2312" w:cs="仿宋_GB2312"/>
                <w:kern w:val="2"/>
                <w:sz w:val="24"/>
                <w:szCs w:val="24"/>
                <w:lang w:val="en-US" w:eastAsia="zh-CN" w:bidi="ar-SA"/>
              </w:rPr>
              <w:t>1</w:t>
            </w:r>
            <w:r>
              <w:rPr>
                <w:rFonts w:hint="eastAsia" w:ascii="仿宋_GB2312" w:hAnsi="仿宋_GB2312" w:eastAsia="仿宋_GB2312" w:cs="仿宋_GB2312"/>
                <w:kern w:val="2"/>
                <w:sz w:val="24"/>
                <w:szCs w:val="24"/>
                <w:lang w:val="en-US" w:eastAsia="zh-CN" w:bidi="ar-SA"/>
              </w:rPr>
              <w:t>1</w:t>
            </w:r>
          </w:p>
        </w:tc>
        <w:tc>
          <w:tcPr>
            <w:tcW w:w="2428" w:type="pct"/>
            <w:gridSpan w:val="2"/>
            <w:noWrap w:val="0"/>
            <w:vAlign w:val="center"/>
          </w:tcPr>
          <w:p w14:paraId="68414499">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2月份以来贯彻执行“第一议题”制度情况</w:t>
            </w:r>
          </w:p>
        </w:tc>
        <w:tc>
          <w:tcPr>
            <w:tcW w:w="2156" w:type="pct"/>
            <w:noWrap w:val="0"/>
            <w:vAlign w:val="center"/>
          </w:tcPr>
          <w:p w14:paraId="036DC696">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lang w:val="en-US" w:eastAsia="zh-CN"/>
              </w:rPr>
            </w:pPr>
          </w:p>
        </w:tc>
        <w:tc>
          <w:tcPr>
            <w:tcW w:w="238" w:type="pct"/>
            <w:noWrap w:val="0"/>
            <w:vAlign w:val="center"/>
          </w:tcPr>
          <w:p w14:paraId="74C0FA0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68E7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176" w:type="pct"/>
            <w:shd w:val="clear" w:color="auto" w:fill="auto"/>
            <w:noWrap w:val="0"/>
            <w:vAlign w:val="center"/>
          </w:tcPr>
          <w:p w14:paraId="0F684662">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12</w:t>
            </w:r>
          </w:p>
        </w:tc>
        <w:tc>
          <w:tcPr>
            <w:tcW w:w="545" w:type="pct"/>
            <w:vMerge w:val="restart"/>
            <w:noWrap w:val="0"/>
            <w:vAlign w:val="center"/>
          </w:tcPr>
          <w:p w14:paraId="64071B78">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违规吃喝和两项整治工作开展情况</w:t>
            </w:r>
          </w:p>
        </w:tc>
        <w:tc>
          <w:tcPr>
            <w:tcW w:w="1883" w:type="pct"/>
            <w:noWrap w:val="0"/>
            <w:vAlign w:val="center"/>
          </w:tcPr>
          <w:p w14:paraId="11F09375">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学习传达落实情况</w:t>
            </w:r>
          </w:p>
        </w:tc>
        <w:tc>
          <w:tcPr>
            <w:tcW w:w="2156" w:type="pct"/>
            <w:noWrap w:val="0"/>
            <w:vAlign w:val="center"/>
          </w:tcPr>
          <w:p w14:paraId="0FA9EC78">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围绕校园餐、教育乱收费、征订校服、教辅教材、招生招考、基建工程、师德师风、后勤管理和科研经费等重点领域突出问题开展传达学习，按照要求开展相关内容排查等！</w:t>
            </w:r>
          </w:p>
        </w:tc>
        <w:tc>
          <w:tcPr>
            <w:tcW w:w="238" w:type="pct"/>
            <w:noWrap w:val="0"/>
            <w:vAlign w:val="center"/>
          </w:tcPr>
          <w:p w14:paraId="30C7DF0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2EE6F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 w:type="pct"/>
            <w:shd w:val="clear" w:color="auto" w:fill="auto"/>
            <w:noWrap w:val="0"/>
            <w:vAlign w:val="center"/>
          </w:tcPr>
          <w:p w14:paraId="18C4FF15">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13</w:t>
            </w:r>
          </w:p>
        </w:tc>
        <w:tc>
          <w:tcPr>
            <w:tcW w:w="545" w:type="pct"/>
            <w:vMerge w:val="continue"/>
            <w:noWrap w:val="0"/>
            <w:vAlign w:val="center"/>
          </w:tcPr>
          <w:p w14:paraId="4553488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lang w:val="en-US" w:eastAsia="zh-CN"/>
              </w:rPr>
            </w:pPr>
          </w:p>
        </w:tc>
        <w:tc>
          <w:tcPr>
            <w:tcW w:w="1883" w:type="pct"/>
            <w:shd w:val="clear" w:color="auto" w:fill="auto"/>
            <w:noWrap w:val="0"/>
            <w:vAlign w:val="center"/>
          </w:tcPr>
          <w:p w14:paraId="485A6B49">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lang w:val="en-US" w:eastAsia="zh-CN"/>
              </w:rPr>
              <w:t>结合关键节点转发典型案例等资料</w:t>
            </w:r>
            <w:r>
              <w:rPr>
                <w:rFonts w:hint="eastAsia" w:ascii="仿宋_GB2312" w:hAnsi="仿宋_GB2312" w:eastAsia="仿宋_GB2312" w:cs="仿宋_GB2312"/>
                <w:color w:val="000000"/>
                <w:sz w:val="24"/>
                <w:szCs w:val="24"/>
                <w:lang w:eastAsia="zh-CN"/>
              </w:rPr>
              <w:t>，</w:t>
            </w:r>
            <w:r>
              <w:rPr>
                <w:rFonts w:hint="eastAsia" w:ascii="仿宋_GB2312" w:hAnsi="仿宋_GB2312" w:eastAsia="仿宋_GB2312" w:cs="仿宋_GB2312"/>
                <w:color w:val="000000"/>
                <w:sz w:val="24"/>
                <w:szCs w:val="24"/>
                <w:lang w:val="en-US" w:eastAsia="zh-CN"/>
              </w:rPr>
              <w:t>深化以案促改、以案为鉴、以案促治。</w:t>
            </w:r>
          </w:p>
        </w:tc>
        <w:tc>
          <w:tcPr>
            <w:tcW w:w="2156" w:type="pct"/>
            <w:noWrap w:val="0"/>
            <w:vAlign w:val="center"/>
          </w:tcPr>
          <w:p w14:paraId="4C8AA3E3">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lang w:val="en-US" w:eastAsia="zh-CN"/>
              </w:rPr>
            </w:pPr>
          </w:p>
        </w:tc>
        <w:tc>
          <w:tcPr>
            <w:tcW w:w="238" w:type="pct"/>
            <w:noWrap w:val="0"/>
            <w:vAlign w:val="center"/>
          </w:tcPr>
          <w:p w14:paraId="5BF7BE0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5099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76" w:type="pct"/>
            <w:shd w:val="clear" w:color="auto" w:fill="auto"/>
            <w:noWrap w:val="0"/>
            <w:vAlign w:val="center"/>
          </w:tcPr>
          <w:p w14:paraId="635273A2">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120" w:leftChars="0" w:hanging="120" w:hangingChars="50"/>
              <w:jc w:val="center"/>
              <w:textAlignment w:val="auto"/>
              <w:rPr>
                <w:rFonts w:hint="default" w:ascii="仿宋_GB2312" w:hAnsi="仿宋_GB2312" w:eastAsia="仿宋_GB2312" w:cs="仿宋_GB2312"/>
                <w:kern w:val="2"/>
                <w:sz w:val="24"/>
                <w:szCs w:val="24"/>
                <w:lang w:val="en-US" w:eastAsia="zh-CN" w:bidi="ar-SA"/>
              </w:rPr>
            </w:pPr>
            <w:r>
              <w:rPr>
                <w:rFonts w:hint="default" w:ascii="仿宋_GB2312" w:hAnsi="仿宋_GB2312" w:eastAsia="仿宋_GB2312" w:cs="仿宋_GB2312"/>
                <w:kern w:val="2"/>
                <w:sz w:val="24"/>
                <w:szCs w:val="24"/>
                <w:lang w:val="en-US" w:eastAsia="zh-CN" w:bidi="ar-SA"/>
              </w:rPr>
              <w:t>1</w:t>
            </w:r>
            <w:r>
              <w:rPr>
                <w:rFonts w:hint="eastAsia" w:ascii="仿宋_GB2312" w:hAnsi="仿宋_GB2312" w:eastAsia="仿宋_GB2312" w:cs="仿宋_GB2312"/>
                <w:kern w:val="2"/>
                <w:sz w:val="24"/>
                <w:szCs w:val="24"/>
                <w:lang w:val="en-US" w:eastAsia="zh-CN" w:bidi="ar-SA"/>
              </w:rPr>
              <w:t>4</w:t>
            </w:r>
          </w:p>
        </w:tc>
        <w:tc>
          <w:tcPr>
            <w:tcW w:w="545" w:type="pct"/>
            <w:vMerge w:val="restart"/>
            <w:noWrap w:val="0"/>
            <w:vAlign w:val="center"/>
          </w:tcPr>
          <w:p w14:paraId="6BF14F99">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落实意识形态责任制及网络意识形态责任制情况</w:t>
            </w:r>
          </w:p>
        </w:tc>
        <w:tc>
          <w:tcPr>
            <w:tcW w:w="1883" w:type="pct"/>
            <w:shd w:val="clear" w:color="auto" w:fill="auto"/>
            <w:noWrap w:val="0"/>
            <w:vAlign w:val="center"/>
          </w:tcPr>
          <w:p w14:paraId="2DCC72BA">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理论学习中心组学习</w:t>
            </w:r>
          </w:p>
        </w:tc>
        <w:tc>
          <w:tcPr>
            <w:tcW w:w="2156" w:type="pct"/>
            <w:noWrap w:val="0"/>
            <w:vAlign w:val="center"/>
          </w:tcPr>
          <w:p w14:paraId="57702A50">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lang w:val="en-US" w:eastAsia="zh-CN"/>
              </w:rPr>
            </w:pPr>
          </w:p>
        </w:tc>
        <w:tc>
          <w:tcPr>
            <w:tcW w:w="238" w:type="pct"/>
            <w:noWrap w:val="0"/>
            <w:vAlign w:val="center"/>
          </w:tcPr>
          <w:p w14:paraId="44DE4474">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28AF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76" w:type="pct"/>
            <w:shd w:val="clear" w:color="auto" w:fill="auto"/>
            <w:noWrap w:val="0"/>
            <w:vAlign w:val="center"/>
          </w:tcPr>
          <w:p w14:paraId="1B4EE171">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15</w:t>
            </w:r>
          </w:p>
        </w:tc>
        <w:tc>
          <w:tcPr>
            <w:tcW w:w="545" w:type="pct"/>
            <w:vMerge w:val="continue"/>
            <w:noWrap w:val="0"/>
            <w:vAlign w:val="center"/>
          </w:tcPr>
          <w:p w14:paraId="3EFC5B8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color w:val="000000"/>
                <w:sz w:val="24"/>
                <w:szCs w:val="24"/>
                <w:lang w:val="en-US" w:eastAsia="zh-CN"/>
              </w:rPr>
            </w:pPr>
          </w:p>
        </w:tc>
        <w:tc>
          <w:tcPr>
            <w:tcW w:w="1883" w:type="pct"/>
            <w:shd w:val="clear" w:color="auto" w:fill="auto"/>
            <w:noWrap w:val="0"/>
            <w:vAlign w:val="center"/>
          </w:tcPr>
          <w:p w14:paraId="31A986DC">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教职工政治学习</w:t>
            </w:r>
          </w:p>
        </w:tc>
        <w:tc>
          <w:tcPr>
            <w:tcW w:w="2156" w:type="pct"/>
            <w:noWrap w:val="0"/>
            <w:vAlign w:val="center"/>
          </w:tcPr>
          <w:p w14:paraId="021B3695">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仿宋_GB2312" w:hAnsi="仿宋_GB2312" w:eastAsia="仿宋_GB2312" w:cs="仿宋_GB2312"/>
                <w:sz w:val="24"/>
                <w:szCs w:val="24"/>
              </w:rPr>
            </w:pPr>
          </w:p>
        </w:tc>
        <w:tc>
          <w:tcPr>
            <w:tcW w:w="238" w:type="pct"/>
            <w:noWrap w:val="0"/>
            <w:vAlign w:val="center"/>
          </w:tcPr>
          <w:p w14:paraId="6A8C35A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280F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6" w:type="pct"/>
            <w:shd w:val="clear" w:color="auto" w:fill="auto"/>
            <w:noWrap w:val="0"/>
            <w:vAlign w:val="center"/>
          </w:tcPr>
          <w:p w14:paraId="6DDDBF29">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sz w:val="24"/>
                <w:szCs w:val="24"/>
                <w:lang w:val="en-US" w:eastAsia="zh-CN"/>
              </w:rPr>
              <w:t>16</w:t>
            </w:r>
          </w:p>
        </w:tc>
        <w:tc>
          <w:tcPr>
            <w:tcW w:w="545" w:type="pct"/>
            <w:vMerge w:val="continue"/>
            <w:noWrap w:val="0"/>
            <w:vAlign w:val="center"/>
          </w:tcPr>
          <w:p w14:paraId="0725F1E0">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color w:val="000000"/>
                <w:sz w:val="24"/>
                <w:szCs w:val="24"/>
                <w:lang w:val="en-US" w:eastAsia="zh-CN"/>
              </w:rPr>
            </w:pPr>
          </w:p>
        </w:tc>
        <w:tc>
          <w:tcPr>
            <w:tcW w:w="1883" w:type="pct"/>
            <w:noWrap w:val="0"/>
            <w:vAlign w:val="center"/>
          </w:tcPr>
          <w:p w14:paraId="13BD4FAC">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意识形态阵地管理</w:t>
            </w:r>
          </w:p>
        </w:tc>
        <w:tc>
          <w:tcPr>
            <w:tcW w:w="2156" w:type="pct"/>
            <w:noWrap w:val="0"/>
            <w:vAlign w:val="center"/>
          </w:tcPr>
          <w:p w14:paraId="244582B5">
            <w:pPr>
              <w:keepNext w:val="0"/>
              <w:keepLines w:val="0"/>
              <w:pageBreakBefore w:val="0"/>
              <w:widowControl w:val="0"/>
              <w:kinsoku/>
              <w:wordWrap/>
              <w:overflowPunct/>
              <w:topLinePunct w:val="0"/>
              <w:autoSpaceDE/>
              <w:autoSpaceDN/>
              <w:bidi w:val="0"/>
              <w:adjustRightInd/>
              <w:snapToGrid/>
              <w:spacing w:line="320" w:lineRule="exact"/>
              <w:ind w:left="0" w:leftChars="0"/>
              <w:jc w:val="both"/>
              <w:textAlignment w:val="auto"/>
              <w:rPr>
                <w:rFonts w:hint="default" w:ascii="仿宋_GB2312" w:hAnsi="仿宋_GB2312" w:eastAsia="仿宋_GB2312" w:cs="仿宋_GB2312"/>
                <w:sz w:val="24"/>
                <w:szCs w:val="24"/>
                <w:lang w:val="en-US"/>
              </w:rPr>
            </w:pPr>
          </w:p>
        </w:tc>
        <w:tc>
          <w:tcPr>
            <w:tcW w:w="238" w:type="pct"/>
            <w:noWrap w:val="0"/>
            <w:vAlign w:val="center"/>
          </w:tcPr>
          <w:p w14:paraId="3A2AF33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r w14:paraId="7FA5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76" w:type="pct"/>
            <w:noWrap w:val="0"/>
            <w:vAlign w:val="center"/>
          </w:tcPr>
          <w:p w14:paraId="03805D3E">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17</w:t>
            </w:r>
          </w:p>
        </w:tc>
        <w:tc>
          <w:tcPr>
            <w:tcW w:w="2428" w:type="pct"/>
            <w:gridSpan w:val="2"/>
            <w:noWrap w:val="0"/>
            <w:vAlign w:val="center"/>
          </w:tcPr>
          <w:p w14:paraId="114E6300">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_GB2312" w:hAnsi="仿宋_GB2312" w:eastAsia="仿宋_GB2312" w:cs="仿宋_GB2312"/>
                <w:color w:val="000000"/>
                <w:sz w:val="24"/>
                <w:szCs w:val="24"/>
                <w:lang w:val="en-US" w:eastAsia="zh-CN"/>
              </w:rPr>
            </w:pPr>
            <w:r>
              <w:rPr>
                <w:rFonts w:hint="default" w:ascii="仿宋_GB2312" w:hAnsi="仿宋_GB2312" w:eastAsia="仿宋_GB2312" w:cs="仿宋_GB2312"/>
                <w:color w:val="000000"/>
                <w:sz w:val="24"/>
                <w:szCs w:val="24"/>
                <w:lang w:val="en-US" w:eastAsia="zh-CN"/>
              </w:rPr>
              <w:t>学校年度重点工作、重大项目、重要任务推进落实情况。</w:t>
            </w:r>
          </w:p>
        </w:tc>
        <w:tc>
          <w:tcPr>
            <w:tcW w:w="2156" w:type="pct"/>
            <w:noWrap w:val="0"/>
            <w:vAlign w:val="center"/>
          </w:tcPr>
          <w:p w14:paraId="3DE7344C">
            <w:pPr>
              <w:keepNext w:val="0"/>
              <w:keepLines w:val="0"/>
              <w:pageBreakBefore w:val="0"/>
              <w:widowControl w:val="0"/>
              <w:kinsoku/>
              <w:wordWrap/>
              <w:overflowPunct/>
              <w:topLinePunct w:val="0"/>
              <w:autoSpaceDE/>
              <w:autoSpaceDN/>
              <w:bidi w:val="0"/>
              <w:adjustRightInd/>
              <w:snapToGrid/>
              <w:spacing w:line="320" w:lineRule="exact"/>
              <w:ind w:left="0" w:leftChars="0"/>
              <w:jc w:val="both"/>
              <w:textAlignment w:val="auto"/>
              <w:rPr>
                <w:rFonts w:hint="default" w:ascii="仿宋_GB2312" w:hAnsi="仿宋_GB2312" w:eastAsia="仿宋_GB2312" w:cs="仿宋_GB2312"/>
                <w:sz w:val="24"/>
                <w:szCs w:val="24"/>
                <w:lang w:val="en-US"/>
              </w:rPr>
            </w:pPr>
          </w:p>
        </w:tc>
        <w:tc>
          <w:tcPr>
            <w:tcW w:w="238" w:type="pct"/>
            <w:noWrap w:val="0"/>
            <w:vAlign w:val="center"/>
          </w:tcPr>
          <w:p w14:paraId="4801CF68">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_GB2312" w:hAnsi="仿宋_GB2312" w:eastAsia="仿宋_GB2312" w:cs="仿宋_GB2312"/>
                <w:sz w:val="24"/>
                <w:szCs w:val="24"/>
              </w:rPr>
            </w:pPr>
          </w:p>
        </w:tc>
      </w:tr>
    </w:tbl>
    <w:p w14:paraId="2CC8CA16">
      <w:pPr>
        <w:spacing w:line="400" w:lineRule="exact"/>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注：</w:t>
      </w:r>
    </w:p>
    <w:p w14:paraId="457464E4">
      <w:pPr>
        <w:spacing w:line="400" w:lineRule="exact"/>
        <w:rPr>
          <w:rFonts w:hint="eastAsia"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1.</w:t>
      </w:r>
      <w:r>
        <w:rPr>
          <w:rFonts w:hint="eastAsia" w:ascii="仿宋_GB2312" w:hAnsi="仿宋_GB2312" w:eastAsia="仿宋_GB2312" w:cs="仿宋_GB2312"/>
          <w:sz w:val="24"/>
          <w:szCs w:val="32"/>
        </w:rPr>
        <w:t>统计时间段为202</w:t>
      </w:r>
      <w:r>
        <w:rPr>
          <w:rFonts w:hint="eastAsia" w:ascii="仿宋_GB2312" w:hAnsi="仿宋_GB2312" w:eastAsia="仿宋_GB2312" w:cs="仿宋_GB2312"/>
          <w:sz w:val="24"/>
          <w:szCs w:val="32"/>
          <w:lang w:val="en-US" w:eastAsia="zh-CN"/>
        </w:rPr>
        <w:t>5</w:t>
      </w:r>
      <w:r>
        <w:rPr>
          <w:rFonts w:hint="eastAsia" w:ascii="仿宋_GB2312" w:hAnsi="仿宋_GB2312" w:eastAsia="仿宋_GB2312" w:cs="仿宋_GB2312"/>
          <w:sz w:val="24"/>
          <w:szCs w:val="32"/>
        </w:rPr>
        <w:t>年</w:t>
      </w:r>
      <w:r>
        <w:rPr>
          <w:rFonts w:hint="eastAsia" w:ascii="仿宋_GB2312" w:hAnsi="仿宋_GB2312" w:eastAsia="仿宋_GB2312" w:cs="仿宋_GB2312"/>
          <w:sz w:val="24"/>
          <w:szCs w:val="32"/>
          <w:lang w:val="en-US" w:eastAsia="zh-CN"/>
        </w:rPr>
        <w:t>2</w:t>
      </w:r>
      <w:r>
        <w:rPr>
          <w:rFonts w:hint="eastAsia" w:ascii="仿宋_GB2312" w:hAnsi="仿宋_GB2312" w:eastAsia="仿宋_GB2312" w:cs="仿宋_GB2312"/>
          <w:sz w:val="24"/>
          <w:szCs w:val="32"/>
        </w:rPr>
        <w:t>月至</w:t>
      </w:r>
      <w:r>
        <w:rPr>
          <w:rFonts w:hint="eastAsia" w:ascii="仿宋_GB2312" w:hAnsi="仿宋_GB2312" w:eastAsia="仿宋_GB2312" w:cs="仿宋_GB2312"/>
          <w:sz w:val="24"/>
          <w:szCs w:val="32"/>
          <w:lang w:val="en-US" w:eastAsia="zh-CN"/>
        </w:rPr>
        <w:t>今</w:t>
      </w:r>
      <w:r>
        <w:rPr>
          <w:rFonts w:hint="eastAsia" w:ascii="仿宋_GB2312" w:hAnsi="仿宋_GB2312" w:eastAsia="仿宋_GB2312" w:cs="仿宋_GB2312"/>
          <w:sz w:val="24"/>
          <w:szCs w:val="32"/>
        </w:rPr>
        <w:t>，表中所填工作本次不需要提供佐证材料。</w:t>
      </w:r>
      <w:r>
        <w:rPr>
          <w:rFonts w:hint="eastAsia" w:ascii="仿宋_GB2312" w:hAnsi="仿宋_GB2312" w:eastAsia="仿宋_GB2312" w:cs="仿宋_GB2312"/>
          <w:sz w:val="24"/>
          <w:szCs w:val="32"/>
          <w:lang w:val="en-US" w:eastAsia="zh-CN"/>
        </w:rPr>
        <w:t>后期，学校纪委会结合日常监督和年度考核以及基层党组织书记述职抓党建等工作，通过查阅资料等方式对表格填报内容进行核查。表格中涉及内容请以条目式列出，没有可不填写。</w:t>
      </w:r>
    </w:p>
    <w:p w14:paraId="5CA9C56F">
      <w:pPr>
        <w:spacing w:line="400" w:lineRule="exact"/>
        <w:rPr>
          <w:rFonts w:hint="default" w:ascii="仿宋_GB2312" w:hAnsi="仿宋_GB2312" w:eastAsia="仿宋_GB2312" w:cs="仿宋_GB2312"/>
          <w:sz w:val="24"/>
          <w:szCs w:val="32"/>
          <w:lang w:val="en-US" w:eastAsia="zh-CN"/>
        </w:rPr>
      </w:pPr>
      <w:r>
        <w:rPr>
          <w:rFonts w:hint="eastAsia" w:ascii="仿宋_GB2312" w:hAnsi="仿宋_GB2312" w:eastAsia="仿宋_GB2312" w:cs="仿宋_GB2312"/>
          <w:sz w:val="24"/>
          <w:szCs w:val="32"/>
          <w:lang w:val="en-US" w:eastAsia="zh-CN"/>
        </w:rPr>
        <w:t>2.请于6月12日前将自查表纸质版（签字盖章）和电子版报送纪检监察室1227室。</w:t>
      </w: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6838" w:h="11906" w:orient="landscape"/>
      <w:pgMar w:top="1247" w:right="1440" w:bottom="907" w:left="1474" w:header="851" w:footer="68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C4544">
    <w:pPr>
      <w:pStyle w:val="3"/>
      <w:tabs>
        <w:tab w:val="left" w:pos="8600"/>
        <w:tab w:val="right" w:pos="9298"/>
      </w:tabs>
      <w:jc w:val="right"/>
    </w:pPr>
    <w:r>
      <w:rPr>
        <w:sz w:val="3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A21B4">
                          <w:pPr>
                            <w:pStyle w:val="3"/>
                            <w:rPr>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70A21B4">
                    <w:pPr>
                      <w:pStyle w:val="3"/>
                      <w:rPr>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0A6E">
    <w:pPr>
      <w:pStyle w:val="3"/>
      <w:rPr>
        <w:sz w:val="30"/>
        <w:szCs w:val="30"/>
      </w:rPr>
    </w:pPr>
    <w:r>
      <w:rPr>
        <w:sz w:val="30"/>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93663E">
                          <w:pPr>
                            <w:pStyle w:val="3"/>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E93663E">
                    <w:pPr>
                      <w:pStyle w:val="3"/>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p>
                </w:txbxContent>
              </v:textbox>
            </v:shape>
          </w:pict>
        </mc:Fallback>
      </mc:AlternateContent>
    </w:r>
  </w:p>
  <w:p w14:paraId="2C27B40C">
    <w:pPr>
      <w:pStyle w:val="3"/>
      <w:ind w:right="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70D25">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8666B">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DE43">
    <w:pPr>
      <w:pStyle w:val="4"/>
      <w:pBdr>
        <w:bottom w:val="none" w:color="auto" w:sz="0" w:space="1"/>
      </w:pBdr>
      <w:tabs>
        <w:tab w:val="left" w:pos="5258"/>
        <w:tab w:val="clear" w:pos="4153"/>
      </w:tabs>
      <w:jc w:val="both"/>
      <w:rPr>
        <w:rFonts w:hint="eastAsia" w:eastAsia="宋体"/>
        <w:lang w:eastAsia="zh-CN"/>
      </w:rPr>
    </w:pP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A63AA">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YjFlY2IxMmFmZmQzMTBjZTMzMDViYTAwNzRjOTYifQ=="/>
  </w:docVars>
  <w:rsids>
    <w:rsidRoot w:val="00000000"/>
    <w:rsid w:val="0D9C3156"/>
    <w:rsid w:val="17A62FC4"/>
    <w:rsid w:val="22E41E5B"/>
    <w:rsid w:val="40D55984"/>
    <w:rsid w:val="4526121E"/>
    <w:rsid w:val="5B250003"/>
    <w:rsid w:val="5D25781E"/>
    <w:rsid w:val="632E066A"/>
    <w:rsid w:val="654A0761"/>
    <w:rsid w:val="66FA7FBE"/>
    <w:rsid w:val="7C3C5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60" w:after="260" w:line="416" w:lineRule="auto"/>
      <w:textAlignment w:val="baseline"/>
    </w:pPr>
    <w:rPr>
      <w:rFonts w:ascii="Arial" w:hAnsi="Arial" w:eastAsia="黑体" w:cs="Times New Roman"/>
      <w:b/>
      <w:bCs/>
      <w:sz w:val="32"/>
      <w:szCs w:val="32"/>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930</Words>
  <Characters>965</Characters>
  <Lines>0</Lines>
  <Paragraphs>0</Paragraphs>
  <TotalTime>7</TotalTime>
  <ScaleCrop>false</ScaleCrop>
  <LinksUpToDate>false</LinksUpToDate>
  <CharactersWithSpaces>997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2024-07-03T08:34:00Z</dcterms:created>
  <dc:creator>HP</dc:creator>
  <cp:lastModifiedBy>尹光兵</cp:lastModifiedBy>
  <dcterms:modified xsi:type="dcterms:W3CDTF">2025-06-05T02:27:36Z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0F45B84DCA2B42A48BC981680A0A2164_13</vt:lpwstr>
  </property>
  <property fmtid="{D5CDD505-2E9C-101B-9397-08002B2CF9AE}" pid="4" name="KSOTemplateDocerSaveRecord">
    <vt:lpwstr>eyJoZGlkIjoiZGU1NjU2OTQ5Y2Q3YmU4NjFiZWFiMjExYjc2MWQ1ZDgiLCJ1c2VySWQiOiIxNjQzODQ3NTM2In0=</vt:lpwstr>
  </property>
</Properties>
</file>